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38" w:rsidRDefault="005A5F38" w:rsidP="00452E34">
      <w:pPr>
        <w:pStyle w:val="OZNRODZAKTUtznustawalubrozporzdzenieiorganwydajcy"/>
      </w:pPr>
      <w:bookmarkStart w:id="0" w:name="_GoBack"/>
      <w:bookmarkEnd w:id="0"/>
    </w:p>
    <w:p w:rsidR="00583751" w:rsidRPr="00583751" w:rsidRDefault="00583751" w:rsidP="00583751">
      <w:pPr>
        <w:pStyle w:val="DATAAKTUdatauchwalenialubwydaniaaktu"/>
      </w:pPr>
    </w:p>
    <w:p w:rsidR="00452E34" w:rsidRPr="00C90D0D" w:rsidRDefault="00452E34" w:rsidP="00452E34">
      <w:pPr>
        <w:pStyle w:val="OZNRODZAKTUtznustawalubrozporzdzenieiorganwydajcy"/>
      </w:pPr>
      <w:r w:rsidRPr="00C90D0D">
        <w:t>USTAWA</w:t>
      </w:r>
    </w:p>
    <w:p w:rsidR="00452E34" w:rsidRPr="00C90D0D" w:rsidRDefault="00452E34" w:rsidP="00452E34">
      <w:pPr>
        <w:pStyle w:val="DATAAKTUdatauchwalenialubwydaniaaktu"/>
      </w:pPr>
      <w:r w:rsidRPr="00C90D0D">
        <w:t>z dnia</w:t>
      </w:r>
      <w:r w:rsidR="005A5F38" w:rsidRPr="00C90D0D">
        <w:t xml:space="preserve"> 12 października </w:t>
      </w:r>
      <w:r w:rsidR="00B649D7" w:rsidRPr="00C90D0D">
        <w:t>2017 r.</w:t>
      </w:r>
    </w:p>
    <w:p w:rsidR="00452E34" w:rsidRPr="00C90D0D" w:rsidRDefault="00452E34" w:rsidP="00C90D0D">
      <w:pPr>
        <w:pStyle w:val="TYTUAKTUprzedmiotregulacjiustawylubrozporzdzenia"/>
      </w:pPr>
      <w:r w:rsidRPr="00C90D0D">
        <w:t>o świadczeniu rekompensacyjnym z tytułu utraty prawa do bezpłatnego węgla</w:t>
      </w:r>
      <w:r w:rsidRPr="00C90D0D">
        <w:rPr>
          <w:rStyle w:val="IGPindeksgrnyipogrubienie"/>
        </w:rPr>
        <w:footnoteReference w:id="1"/>
      </w:r>
      <w:r w:rsidRPr="00C90D0D">
        <w:rPr>
          <w:rStyle w:val="IGPindeksgrnyipogrubienie"/>
        </w:rPr>
        <w:t>)</w:t>
      </w:r>
      <w:r w:rsidRPr="00C90D0D">
        <w:rPr>
          <w:rStyle w:val="IGindeksgrny"/>
        </w:rPr>
        <w:t xml:space="preserve"> </w:t>
      </w:r>
    </w:p>
    <w:p w:rsidR="00452E34" w:rsidRPr="00C90D0D" w:rsidRDefault="00452E34" w:rsidP="00452E34">
      <w:pPr>
        <w:pStyle w:val="ARTartustawynprozporzdzenia"/>
      </w:pPr>
      <w:r w:rsidRPr="00C90D0D">
        <w:rPr>
          <w:rStyle w:val="Ppogrubienie"/>
        </w:rPr>
        <w:t>Art. 1.</w:t>
      </w:r>
      <w:r w:rsidRPr="00C90D0D">
        <w:t xml:space="preserve"> Ustawa określa zasady i sposób realizacji świadczenia rekompensacyjnego z tytułu utraty prawa do bezpłatnego węgla, zwanego dalej </w:t>
      </w:r>
      <w:r w:rsidRPr="00C90D0D">
        <w:rPr>
          <w:rFonts w:cs="Times"/>
        </w:rPr>
        <w:t>„</w:t>
      </w:r>
      <w:r w:rsidRPr="00C90D0D">
        <w:t xml:space="preserve">rekompensatą”. </w:t>
      </w:r>
    </w:p>
    <w:p w:rsidR="00452E34" w:rsidRPr="00C90D0D" w:rsidRDefault="00452E34" w:rsidP="00C90D0D">
      <w:pPr>
        <w:pStyle w:val="ARTartustawynprozporzdzenia"/>
        <w:keepNext/>
      </w:pPr>
      <w:r w:rsidRPr="00C90D0D">
        <w:rPr>
          <w:rStyle w:val="Ppogrubienie"/>
        </w:rPr>
        <w:t>Art. 2.</w:t>
      </w:r>
      <w:r w:rsidRPr="00C90D0D">
        <w:t xml:space="preserve"> Użyte w ustawie określenia oznaczają: </w:t>
      </w:r>
    </w:p>
    <w:p w:rsidR="00452E34" w:rsidRPr="00C90D0D" w:rsidRDefault="00452E34" w:rsidP="00C90D0D">
      <w:pPr>
        <w:pStyle w:val="PKTpunkt"/>
        <w:keepNext/>
      </w:pPr>
      <w:r w:rsidRPr="00C90D0D">
        <w:t>1)</w:t>
      </w:r>
      <w:r w:rsidRPr="00C90D0D">
        <w:tab/>
        <w:t>osoba uprawniona:</w:t>
      </w:r>
    </w:p>
    <w:p w:rsidR="00452E34" w:rsidRPr="00C90D0D" w:rsidRDefault="00452E34" w:rsidP="00452E34">
      <w:pPr>
        <w:pStyle w:val="LITlitera"/>
      </w:pPr>
      <w:r w:rsidRPr="00C90D0D">
        <w:t>a)</w:t>
      </w:r>
      <w:r w:rsidRPr="00C90D0D">
        <w:tab/>
        <w:t xml:space="preserve">emeryta i rencistę mających ustalone prawo do emerytury lub renty z tytułu niezdolności do pracy, zwanej dalej </w:t>
      </w:r>
      <w:r w:rsidRPr="00C90D0D">
        <w:rPr>
          <w:rFonts w:cs="Times"/>
        </w:rPr>
        <w:t>„</w:t>
      </w:r>
      <w:r w:rsidRPr="00C90D0D">
        <w:t>rentą”, i pobierających to świadczenie, uprawnionych w trakcie pobierania świadczenia z tytułu emerytury lub renty do bezpłatnego węgla na podstawie</w:t>
      </w:r>
      <w:r w:rsidR="005624B8" w:rsidRPr="00C90D0D">
        <w:t xml:space="preserve"> postanowień </w:t>
      </w:r>
      <w:r w:rsidRPr="00C90D0D">
        <w:t xml:space="preserve"> układów zbiorowych pracy</w:t>
      </w:r>
      <w:r w:rsidR="005624B8" w:rsidRPr="00C90D0D">
        <w:t>,</w:t>
      </w:r>
      <w:r w:rsidRPr="00C90D0D">
        <w:t xml:space="preserve"> porozumień </w:t>
      </w:r>
      <w:r w:rsidR="005624B8" w:rsidRPr="00C90D0D">
        <w:t xml:space="preserve">lub innych regulacji </w:t>
      </w:r>
      <w:r w:rsidRPr="00C90D0D">
        <w:t xml:space="preserve">obowiązujących w przedsiębiorstwie górniczym, które </w:t>
      </w:r>
      <w:r w:rsidR="005624B8" w:rsidRPr="00C90D0D">
        <w:t xml:space="preserve">utraciły moc obowiązującą przed </w:t>
      </w:r>
      <w:r w:rsidRPr="00C90D0D">
        <w:t>dniem wejścia w życie ustawy,</w:t>
      </w:r>
      <w:r w:rsidR="005624B8" w:rsidRPr="00C90D0D">
        <w:t xml:space="preserve"> na skutek zawartych porozumień lub dokonanych wypowiedzeń,</w:t>
      </w:r>
    </w:p>
    <w:p w:rsidR="00452E34" w:rsidRPr="00C90D0D" w:rsidRDefault="00452E34" w:rsidP="00452E34">
      <w:pPr>
        <w:pStyle w:val="LITlitera"/>
      </w:pPr>
      <w:r w:rsidRPr="00C90D0D">
        <w:t>b)</w:t>
      </w:r>
      <w:r w:rsidRPr="00C90D0D">
        <w:tab/>
        <w:t xml:space="preserve">wdowy, wdowców i sieroty mających ustalone prawo do renty rodzinnej po osobie, o której mowa w lit. a; </w:t>
      </w:r>
    </w:p>
    <w:p w:rsidR="00452E34" w:rsidRPr="00C90D0D" w:rsidRDefault="00452E34" w:rsidP="00C90D0D">
      <w:pPr>
        <w:pStyle w:val="PKTpunkt"/>
        <w:keepNext/>
      </w:pPr>
      <w:r w:rsidRPr="00C90D0D">
        <w:t>2)</w:t>
      </w:r>
      <w:r w:rsidRPr="00C90D0D">
        <w:tab/>
        <w:t xml:space="preserve"> przedsiębiorstwo górnicze:</w:t>
      </w:r>
    </w:p>
    <w:p w:rsidR="00452E34" w:rsidRPr="00C90D0D" w:rsidRDefault="00452E34" w:rsidP="00452E34">
      <w:pPr>
        <w:pStyle w:val="LITlitera"/>
      </w:pPr>
      <w:r w:rsidRPr="00C90D0D">
        <w:t>a)</w:t>
      </w:r>
      <w:r w:rsidRPr="00C90D0D">
        <w:tab/>
        <w:t>spółkę węglową – jednoosobową spółkę Skarbu Państwa, która prowadziła w dniu 31 grudnia 2011 r. wydobycie węgla kamiennego na podstawie koncesji,</w:t>
      </w:r>
    </w:p>
    <w:p w:rsidR="00452E34" w:rsidRPr="00C90D0D" w:rsidRDefault="00452E34" w:rsidP="00452E34">
      <w:pPr>
        <w:pStyle w:val="LITlitera"/>
      </w:pPr>
      <w:r w:rsidRPr="00C90D0D">
        <w:t>b)</w:t>
      </w:r>
      <w:r w:rsidRPr="00C90D0D">
        <w:tab/>
        <w:t>spółkę, w której Skarb Państwa lub spółki węglowe posiadały w dniu 31 grudnia 2011 r. akcje lub udziały, która prowadziła w tym dniu wydobycie węgla kamiennego na podstawie koncesji;</w:t>
      </w:r>
    </w:p>
    <w:p w:rsidR="00452E34" w:rsidRPr="00C90D0D" w:rsidRDefault="00452E34" w:rsidP="00C90D0D">
      <w:pPr>
        <w:pStyle w:val="PKTpunkt"/>
        <w:keepNext/>
      </w:pPr>
      <w:r w:rsidRPr="00C90D0D">
        <w:t>3)</w:t>
      </w:r>
      <w:r w:rsidRPr="00C90D0D">
        <w:tab/>
        <w:t>przedsiębiorstwo wypłacające:</w:t>
      </w:r>
    </w:p>
    <w:p w:rsidR="00452E34" w:rsidRPr="00C90D0D" w:rsidRDefault="00452E34" w:rsidP="00452E34">
      <w:pPr>
        <w:pStyle w:val="LITlitera"/>
      </w:pPr>
      <w:r w:rsidRPr="00C90D0D">
        <w:t>a)</w:t>
      </w:r>
      <w:r w:rsidRPr="00C90D0D">
        <w:tab/>
        <w:t>przedsiębiorstwo, o którym mowa w art. 8 ust. 1 ustawy z dnia 7 września 2007 r. o funkcjonowaniu górnictwa węgla kamiennego (Dz. U. z 2017 r. poz. 1327 i 1566) – w przypadku osób uprawnionych ze zlikwidowanych przedsiębiorstw górniczych lub przedsiębiorstw górniczych, które zaprzestały wydobycia węgla kamiennego na podstawie koncesji przed dniem wejścia w życie ustawy,</w:t>
      </w:r>
    </w:p>
    <w:p w:rsidR="00452E34" w:rsidRPr="00C90D0D" w:rsidRDefault="00452E34" w:rsidP="00452E34">
      <w:pPr>
        <w:pStyle w:val="LITlitera"/>
      </w:pPr>
      <w:r w:rsidRPr="00C90D0D">
        <w:lastRenderedPageBreak/>
        <w:t>b)</w:t>
      </w:r>
      <w:r w:rsidRPr="00C90D0D">
        <w:tab/>
        <w:t>przedsiębiorstwo górnicze – w przypadku osób uprawnionych z przedsiębiorstw górniczych, które w dniu wejścia w życie ustawy prowadzą wydobycie węgla kamiennego na podstawie koncesji.</w:t>
      </w:r>
    </w:p>
    <w:p w:rsidR="00452E34" w:rsidRPr="00C90D0D" w:rsidRDefault="00452E34" w:rsidP="00452E34">
      <w:pPr>
        <w:pStyle w:val="ARTartustawynprozporzdzenia"/>
      </w:pPr>
      <w:r w:rsidRPr="00C90D0D">
        <w:rPr>
          <w:rStyle w:val="Ppogrubienie"/>
        </w:rPr>
        <w:t>Art. 3.</w:t>
      </w:r>
      <w:r w:rsidRPr="00C90D0D">
        <w:t xml:space="preserve"> 1. Rekompensata przysługuje osobie uprawnionej, z </w:t>
      </w:r>
      <w:r w:rsidR="005624B8" w:rsidRPr="00C90D0D">
        <w:t>wyjątkiem</w:t>
      </w:r>
      <w:r w:rsidRPr="00C90D0D">
        <w:t xml:space="preserve"> ust. 2.</w:t>
      </w:r>
    </w:p>
    <w:p w:rsidR="00452E34" w:rsidRPr="00C90D0D" w:rsidRDefault="00452E34" w:rsidP="00452E34">
      <w:pPr>
        <w:pStyle w:val="USTustnpkodeksu"/>
      </w:pPr>
      <w:r w:rsidRPr="00C90D0D">
        <w:t xml:space="preserve">2. Rekompensata nie przysługuje osobie uprawnionej, której roszczenia z tytułu prawa do bezpłatnego węgla podlegają zaspokojeniu na podstawie prawomocnego wyroku sądowego. </w:t>
      </w:r>
    </w:p>
    <w:p w:rsidR="00452E34" w:rsidRPr="00C90D0D" w:rsidRDefault="00452E34" w:rsidP="00452E34">
      <w:pPr>
        <w:pStyle w:val="ARTartustawynprozporzdzenia"/>
        <w:rPr>
          <w:rStyle w:val="Ppogrubienie"/>
        </w:rPr>
      </w:pPr>
      <w:r w:rsidRPr="00C90D0D">
        <w:rPr>
          <w:rStyle w:val="Ppogrubienie"/>
        </w:rPr>
        <w:t>Art.</w:t>
      </w:r>
      <w:r w:rsidR="00C90D0D" w:rsidRPr="00C90D0D">
        <w:rPr>
          <w:rStyle w:val="Ppogrubienie"/>
        </w:rPr>
        <w:t> </w:t>
      </w:r>
      <w:r w:rsidRPr="00C90D0D">
        <w:rPr>
          <w:rStyle w:val="Ppogrubienie"/>
        </w:rPr>
        <w:t>4.</w:t>
      </w:r>
      <w:r w:rsidRPr="00C90D0D">
        <w:rPr>
          <w:rStyle w:val="Ppogrubienie"/>
          <w:bCs/>
        </w:rPr>
        <w:t xml:space="preserve"> 1. </w:t>
      </w:r>
      <w:r w:rsidRPr="00C90D0D">
        <w:t>Wysokość rekompensaty wynosi 10 000</w:t>
      </w:r>
      <w:r w:rsidRPr="00C90D0D">
        <w:rPr>
          <w:rStyle w:val="PKpogrubieniekursywa"/>
        </w:rPr>
        <w:t xml:space="preserve"> </w:t>
      </w:r>
      <w:r w:rsidRPr="00C90D0D">
        <w:t>zł.</w:t>
      </w:r>
    </w:p>
    <w:p w:rsidR="00452E34" w:rsidRPr="00C90D0D" w:rsidRDefault="00452E34" w:rsidP="00452E34">
      <w:pPr>
        <w:pStyle w:val="USTustnpkodeksu"/>
      </w:pPr>
      <w:r w:rsidRPr="00C90D0D">
        <w:t>2. Rekompensata jest wypłacana jednorazowo przez właściwe przedsiębiorstwo wypłacające przekazem pocztowym</w:t>
      </w:r>
      <w:r w:rsidR="005624B8" w:rsidRPr="00C90D0D">
        <w:t>,</w:t>
      </w:r>
      <w:r w:rsidRPr="00C90D0D">
        <w:t xml:space="preserve"> przelewem na rachunek bankowy albo rachunek prowadzony w spółdzielczej kasie oszczędnościowo-kredytowej, wskazany we wniosku o wypłatę rekompensaty.</w:t>
      </w:r>
    </w:p>
    <w:p w:rsidR="00452E34" w:rsidRPr="00C90D0D" w:rsidRDefault="00452E34" w:rsidP="00452E34">
      <w:pPr>
        <w:pStyle w:val="USTustnpkodeksu"/>
      </w:pPr>
      <w:r w:rsidRPr="00C90D0D">
        <w:t>3. W przypadku śmierci osoby uprawnionej, o której mowa w art. 2 pkt 1 lit. a, która złożyła wniosek o wypłatę rekompensaty, należną jej rekompensatę wypłaca się w częściach równych osobom uprawnionym, o których mowa w art. 2 pkt 1 lit. b.</w:t>
      </w:r>
    </w:p>
    <w:p w:rsidR="00452E34" w:rsidRPr="00C90D0D" w:rsidRDefault="00452E34" w:rsidP="00452E34">
      <w:pPr>
        <w:pStyle w:val="USTustnpkodeksu"/>
      </w:pPr>
      <w:r w:rsidRPr="00C90D0D">
        <w:t xml:space="preserve">4. Roszczenie o świadczenie z tytułu wypłaty rekompensaty wygasa po upływie 12 miesięcy od dnia złożenia wniosku o wypłatę rekompensaty. </w:t>
      </w:r>
    </w:p>
    <w:p w:rsidR="00452E34" w:rsidRPr="00C90D0D" w:rsidRDefault="00452E34" w:rsidP="00452E34">
      <w:pPr>
        <w:pStyle w:val="ARTartustawynprozporzdzenia"/>
      </w:pPr>
      <w:r w:rsidRPr="00C90D0D">
        <w:rPr>
          <w:rStyle w:val="Ppogrubienie"/>
        </w:rPr>
        <w:t>Art. 5.</w:t>
      </w:r>
      <w:r w:rsidRPr="00C90D0D">
        <w:t xml:space="preserve"> 1. Wniosek o wypłatę rekompensaty osoba uprawniona składa do właściwego przedsiębiorstwa wypłacającego w terminie do </w:t>
      </w:r>
      <w:r w:rsidR="005624B8" w:rsidRPr="00C90D0D">
        <w:t>2</w:t>
      </w:r>
      <w:r w:rsidRPr="00C90D0D">
        <w:t xml:space="preserve">1 dni od dnia wejścia w życie ustawy. </w:t>
      </w:r>
    </w:p>
    <w:p w:rsidR="00452E34" w:rsidRPr="00C90D0D" w:rsidRDefault="00452E34" w:rsidP="00C90D0D">
      <w:pPr>
        <w:pStyle w:val="USTustnpkodeksu"/>
        <w:keepNext/>
      </w:pPr>
      <w:r w:rsidRPr="00C90D0D">
        <w:t>2. Wniosek o wypłatę rekompensaty zawiera:</w:t>
      </w:r>
    </w:p>
    <w:p w:rsidR="00452E34" w:rsidRPr="00C90D0D" w:rsidRDefault="00452E34" w:rsidP="00452E34">
      <w:pPr>
        <w:pStyle w:val="PKTpunkt"/>
      </w:pPr>
      <w:r w:rsidRPr="00C90D0D">
        <w:t>1)</w:t>
      </w:r>
      <w:r w:rsidRPr="00C90D0D">
        <w:tab/>
        <w:t>imię i nazwisko osoby uprawnionej;</w:t>
      </w:r>
    </w:p>
    <w:p w:rsidR="00452E34" w:rsidRPr="00C90D0D" w:rsidRDefault="00452E34" w:rsidP="00452E34">
      <w:pPr>
        <w:pStyle w:val="PKTpunkt"/>
      </w:pPr>
      <w:r w:rsidRPr="00C90D0D">
        <w:t>2)</w:t>
      </w:r>
      <w:r w:rsidRPr="00C90D0D">
        <w:tab/>
        <w:t xml:space="preserve">numer PESEL albo rodzaj i numer dokumentu tożsamości w przypadku braku numeru PESEL; </w:t>
      </w:r>
    </w:p>
    <w:p w:rsidR="00452E34" w:rsidRPr="00C90D0D" w:rsidRDefault="00452E34" w:rsidP="00452E34">
      <w:pPr>
        <w:pStyle w:val="PKTpunkt"/>
      </w:pPr>
      <w:r w:rsidRPr="00C90D0D">
        <w:t>3)</w:t>
      </w:r>
      <w:r w:rsidRPr="00C90D0D">
        <w:tab/>
        <w:t>nazwę przedsiębiorstwa górniczego, z którego osoba uprawniona, o której mowa w art. 2 pkt 1 lit. a, przeszła na emeryturę lub rentę;</w:t>
      </w:r>
    </w:p>
    <w:p w:rsidR="00452E34" w:rsidRPr="00C90D0D" w:rsidRDefault="00452E34" w:rsidP="00452E34">
      <w:pPr>
        <w:pStyle w:val="PKTpunkt"/>
      </w:pPr>
      <w:r w:rsidRPr="00C90D0D">
        <w:t>4)</w:t>
      </w:r>
      <w:r w:rsidRPr="00C90D0D">
        <w:tab/>
        <w:t>informację, że osoba uprawniona, o której mowa w art. 2 pkt 1 lit. a, posiadała prawo do bezpłatnego węgla</w:t>
      </w:r>
      <w:r w:rsidR="005624B8" w:rsidRPr="00C90D0D">
        <w:t xml:space="preserve"> na podstawie postanowień układu zbiorowego pracy, porozumienia lub innej regulacji obowiązującej w przedsiębiorstwie górniczym, które utraciły moc obowiązującą przed dniem wejścia w życie ustawy, na skutek zawartych porozumień lub dokonanych wypowiedzeń</w:t>
      </w:r>
      <w:r w:rsidRPr="00C90D0D">
        <w:t xml:space="preserve">; </w:t>
      </w:r>
    </w:p>
    <w:p w:rsidR="00452E34" w:rsidRPr="00C90D0D" w:rsidRDefault="00452E34" w:rsidP="00452E34">
      <w:pPr>
        <w:pStyle w:val="PKTpunkt"/>
      </w:pPr>
      <w:r w:rsidRPr="00C90D0D">
        <w:t>5)</w:t>
      </w:r>
      <w:r w:rsidRPr="00C90D0D">
        <w:tab/>
        <w:t>wskazanie sposobu wypłaty rekompensaty;</w:t>
      </w:r>
    </w:p>
    <w:p w:rsidR="00452E34" w:rsidRPr="00C90D0D" w:rsidRDefault="00452E34" w:rsidP="00452E34">
      <w:pPr>
        <w:pStyle w:val="PKTpunkt"/>
      </w:pPr>
      <w:r w:rsidRPr="00C90D0D">
        <w:t>6)</w:t>
      </w:r>
      <w:r w:rsidRPr="00C90D0D">
        <w:tab/>
        <w:t>adres zamieszkania osoby uprawnionej;</w:t>
      </w:r>
    </w:p>
    <w:p w:rsidR="00452E34" w:rsidRPr="00C90D0D" w:rsidRDefault="00452E34" w:rsidP="00452E34">
      <w:pPr>
        <w:pStyle w:val="PKTpunkt"/>
      </w:pPr>
      <w:r w:rsidRPr="00C90D0D">
        <w:lastRenderedPageBreak/>
        <w:t>7)</w:t>
      </w:r>
      <w:r w:rsidRPr="00C90D0D">
        <w:tab/>
        <w:t>numer rachunku bankowego albo rachunku prowadzonego w spółdzielczej kasie oszczędnościowo-kredytowej, na jaki ma być wpłacona rekompensata – w przypadku wypłaty rekompensaty przelewem;</w:t>
      </w:r>
    </w:p>
    <w:p w:rsidR="00452E34" w:rsidRPr="00C90D0D" w:rsidRDefault="00452E34" w:rsidP="00452E34">
      <w:pPr>
        <w:pStyle w:val="PKTpunkt"/>
      </w:pPr>
      <w:r w:rsidRPr="00C90D0D">
        <w:t>8)</w:t>
      </w:r>
      <w:r w:rsidRPr="00C90D0D">
        <w:tab/>
        <w:t>telefon do kontaktu z osobą uprawnioną;</w:t>
      </w:r>
    </w:p>
    <w:p w:rsidR="00452E34" w:rsidRPr="00C90D0D" w:rsidRDefault="00452E34" w:rsidP="00452E34">
      <w:pPr>
        <w:pStyle w:val="PKTpunkt"/>
      </w:pPr>
      <w:r w:rsidRPr="00C90D0D">
        <w:t>9)</w:t>
      </w:r>
      <w:r w:rsidRPr="00C90D0D">
        <w:tab/>
        <w:t>datę i podpis osoby uprawnionej.</w:t>
      </w:r>
    </w:p>
    <w:p w:rsidR="00452E34" w:rsidRPr="00C90D0D" w:rsidRDefault="00452E34" w:rsidP="00C90D0D">
      <w:pPr>
        <w:pStyle w:val="USTustnpkodeksu"/>
        <w:keepNext/>
      </w:pPr>
      <w:r w:rsidRPr="00C90D0D">
        <w:t>3. Do wniosku o wypłatę rekompensaty dołącza się:</w:t>
      </w:r>
    </w:p>
    <w:p w:rsidR="00452E34" w:rsidRPr="00C90D0D" w:rsidRDefault="00452E34" w:rsidP="00452E34">
      <w:pPr>
        <w:pStyle w:val="PKTpunkt"/>
      </w:pPr>
      <w:r w:rsidRPr="00C90D0D">
        <w:t>1)</w:t>
      </w:r>
      <w:r w:rsidRPr="00C90D0D">
        <w:tab/>
        <w:t>dokumenty potwierdzające uprawnienie do rekompensaty – w przypadku osób uprawnionych, o których mowa w art. 2 pkt 1 lit. b;</w:t>
      </w:r>
    </w:p>
    <w:p w:rsidR="00452E34" w:rsidRPr="00C90D0D" w:rsidRDefault="00452E34" w:rsidP="00C90D0D">
      <w:pPr>
        <w:pStyle w:val="PKTpunkt"/>
        <w:keepNext/>
      </w:pPr>
      <w:r w:rsidRPr="00C90D0D">
        <w:t>2)</w:t>
      </w:r>
      <w:r w:rsidRPr="00C90D0D">
        <w:tab/>
        <w:t xml:space="preserve">oświadczenie o następującej treści: </w:t>
      </w:r>
    </w:p>
    <w:p w:rsidR="00452E34" w:rsidRPr="00C90D0D" w:rsidRDefault="00452E34" w:rsidP="00C90D0D">
      <w:pPr>
        <w:pStyle w:val="ZFRAGzmfragmentunpzdaniaartykuempunktem"/>
        <w:keepNext/>
      </w:pPr>
      <w:r w:rsidRPr="00C90D0D">
        <w:t>„Oświadczam, że:</w:t>
      </w:r>
    </w:p>
    <w:p w:rsidR="00452E34" w:rsidRPr="00C90D0D" w:rsidRDefault="00452E34" w:rsidP="00452E34">
      <w:pPr>
        <w:pStyle w:val="ZPKTzmpktartykuempunktem"/>
      </w:pPr>
      <w:r w:rsidRPr="00C90D0D">
        <w:t>1)</w:t>
      </w:r>
      <w:r w:rsidRPr="00C90D0D">
        <w:tab/>
        <w:t>dane zawarte we wniosku o wypłatę rekompensaty są zgodne z prawdą;</w:t>
      </w:r>
    </w:p>
    <w:p w:rsidR="00452E34" w:rsidRPr="00C90D0D" w:rsidRDefault="00452E34" w:rsidP="00452E34">
      <w:pPr>
        <w:pStyle w:val="ZPKTzmpktartykuempunktem"/>
      </w:pPr>
      <w:r w:rsidRPr="00C90D0D">
        <w:t>2)</w:t>
      </w:r>
      <w:r w:rsidRPr="00C90D0D">
        <w:tab/>
        <w:t>roszczenia z tytułu prawa do bezpłatnego węgla nie podlegają zaspokojeniu na podstawie prawomocnego wyroku sądowego;</w:t>
      </w:r>
    </w:p>
    <w:p w:rsidR="00452E34" w:rsidRPr="00C90D0D" w:rsidRDefault="00452E34" w:rsidP="00452E34">
      <w:pPr>
        <w:pStyle w:val="ZPKTzmpktartykuempunktem"/>
      </w:pPr>
      <w:r w:rsidRPr="00C90D0D">
        <w:t>3)</w:t>
      </w:r>
      <w:r w:rsidRPr="00C90D0D">
        <w:tab/>
        <w:t>nie złożyłem(am) pozwu/złożyłem(am) pozew</w:t>
      </w:r>
      <w:r w:rsidRPr="00C90D0D">
        <w:rPr>
          <w:rStyle w:val="IGindeksgrny"/>
          <w:bCs w:val="0"/>
        </w:rPr>
        <w:t>*</w:t>
      </w:r>
      <w:r w:rsidRPr="00C90D0D">
        <w:t xml:space="preserve"> dotyczący(ego) roszczenia z tytułu prawa do bezpłatnego węgla do sądu ... w ...;</w:t>
      </w:r>
    </w:p>
    <w:p w:rsidR="00452E34" w:rsidRPr="00C90D0D" w:rsidRDefault="00452E34" w:rsidP="00C90D0D">
      <w:pPr>
        <w:pStyle w:val="ZPKTzmpktartykuempunktem"/>
        <w:keepNext/>
      </w:pPr>
      <w:r w:rsidRPr="00C90D0D">
        <w:t>4)</w:t>
      </w:r>
      <w:r w:rsidRPr="00C90D0D">
        <w:tab/>
        <w:t>nie będę występować z roszczeniami z tytułu</w:t>
      </w:r>
      <w:r w:rsidR="005624B8" w:rsidRPr="00C90D0D">
        <w:t xml:space="preserve"> prawa do bezpłatnego węgla przysługującego na podstawie postanowień układu zbiorowego pracy, porozumienia lub inn</w:t>
      </w:r>
      <w:r w:rsidR="00BF18A0" w:rsidRPr="00C90D0D">
        <w:t>ych</w:t>
      </w:r>
      <w:r w:rsidR="005624B8" w:rsidRPr="00C90D0D">
        <w:t xml:space="preserve"> regulacji obowiązując</w:t>
      </w:r>
      <w:r w:rsidR="00BF18A0" w:rsidRPr="00C90D0D">
        <w:t>ych</w:t>
      </w:r>
      <w:r w:rsidR="005624B8" w:rsidRPr="00C90D0D">
        <w:t xml:space="preserve"> w przedsiębiorstwie górniczym, które utraciły moc obowiązującą przed dniem wejścia w życie ustawy, na skutek zawartych porozumień lub dokonanych wypowiedzeń</w:t>
      </w:r>
      <w:r w:rsidRPr="00C90D0D">
        <w:t>.</w:t>
      </w:r>
    </w:p>
    <w:p w:rsidR="00452E34" w:rsidRPr="00C90D0D" w:rsidRDefault="00452E34" w:rsidP="00452E34">
      <w:pPr>
        <w:pStyle w:val="ZFRAGzmfragmentunpzdaniaartykuempunktem"/>
      </w:pPr>
      <w:r w:rsidRPr="00C90D0D">
        <w:t>*Niepotrzebne skreślić”.</w:t>
      </w:r>
    </w:p>
    <w:p w:rsidR="00452E34" w:rsidRPr="00C90D0D" w:rsidRDefault="00452E34" w:rsidP="00452E34">
      <w:pPr>
        <w:pStyle w:val="USTustnpkodeksu"/>
      </w:pPr>
      <w:r w:rsidRPr="00C90D0D">
        <w:t>4. Wzór wniosku o wypłatę rekompensaty oraz wzór oświadczenia, o którym mowa w ust. 3 pkt 2, zamieszcza na swojej stronie internetowej przedsiębiorstwo wypłacające.</w:t>
      </w:r>
    </w:p>
    <w:p w:rsidR="00452E34" w:rsidRPr="00C90D0D" w:rsidRDefault="00452E34" w:rsidP="00452E34">
      <w:pPr>
        <w:pStyle w:val="USTustnpkodeksu"/>
      </w:pPr>
      <w:r w:rsidRPr="00C90D0D">
        <w:t>5. W przypadku gdy wniosek o wypłatę rekompensaty nie zawiera danych, o których mowa w ust. 2, lub nie dołączono do niego dokumentów, o których mowa w ust. 3 pkt 1, lub oświadczenia, o którym mowa w ust. 3 pkt 2, przedsiębiorstwo wypłacające niezwłocznie wzywa wnioskodawcę do uzupełnienia wniosku lub dołączenia dokumentów lub oświadczenia w terminie 7 dni od dnia doręczenia wezwania z pouczeniem, że nieuzupełnienie danych lub niedołączenie dokumentów lub oświadczenia w tym terminie spowoduje pozostawienie wniosku bez rozpoznania.</w:t>
      </w:r>
    </w:p>
    <w:p w:rsidR="00452E34" w:rsidRPr="00C90D0D" w:rsidRDefault="00452E34" w:rsidP="00452E34">
      <w:pPr>
        <w:pStyle w:val="USTustnpkodeksu"/>
      </w:pPr>
      <w:r w:rsidRPr="00C90D0D">
        <w:t xml:space="preserve">6. Przedsiębiorstwo wypłacające, o którym mowa w art. 2 pkt 3 lit. a, zwraca się do przedsiębiorstwa górniczego, z którego osoba uprawniona, o której mowa w art. 2 pkt 1 lit. a, przeszła na emeryturę lub rentę, z wnioskiem o potwierdzenie informacji, o </w:t>
      </w:r>
      <w:r w:rsidRPr="00C90D0D">
        <w:lastRenderedPageBreak/>
        <w:t xml:space="preserve">której mowa w ust. 2 pkt 4, w terminie 3 dni roboczych od dnia złożenia wniosku o wypłatę rekompensaty. </w:t>
      </w:r>
    </w:p>
    <w:p w:rsidR="00452E34" w:rsidRPr="00C90D0D" w:rsidRDefault="00452E34" w:rsidP="00452E34">
      <w:pPr>
        <w:pStyle w:val="USTustnpkodeksu"/>
      </w:pPr>
      <w:r w:rsidRPr="00C90D0D">
        <w:t>7. Przedsiębiorstwo górnicze udziela przedsiębiorstwu wypłacającemu odpowiedzi w terminie 7 dni od dnia otrzymania wniosku o potwierdzenie informacji, o którym mowa w ust. 6.</w:t>
      </w:r>
    </w:p>
    <w:p w:rsidR="00452E34" w:rsidRPr="00C90D0D" w:rsidRDefault="00452E34" w:rsidP="00452E34">
      <w:pPr>
        <w:pStyle w:val="USTustnpkodeksu"/>
      </w:pPr>
      <w:r w:rsidRPr="00C90D0D">
        <w:t xml:space="preserve">8. Przedsiębiorstwo wypłacające wypłaca rekompensatę, jeżeli przedsiębiorstwo górnicze potwierdzi informację, o której mowa w ust. 2 pkt 4. </w:t>
      </w:r>
    </w:p>
    <w:p w:rsidR="00452E34" w:rsidRPr="00C90D0D" w:rsidRDefault="00452E34" w:rsidP="00452E34">
      <w:pPr>
        <w:pStyle w:val="USTustnpkodeksu"/>
      </w:pPr>
      <w:r w:rsidRPr="00C90D0D">
        <w:t>9. Przedsiębiorstwo wypłacające odmawia w formie pisemnej, z podaniem przyczyny odmowy, wypłaty rekompensaty, jeżeli wniosek złożyła osoba nieuprawniona.</w:t>
      </w:r>
    </w:p>
    <w:p w:rsidR="00452E34" w:rsidRPr="00C90D0D" w:rsidRDefault="00452E34" w:rsidP="00452E34">
      <w:pPr>
        <w:pStyle w:val="USTustnpkodeksu"/>
      </w:pPr>
      <w:r w:rsidRPr="00C90D0D">
        <w:t xml:space="preserve">10. Od </w:t>
      </w:r>
      <w:r w:rsidR="005624B8" w:rsidRPr="00C90D0D">
        <w:t>odmowy,</w:t>
      </w:r>
      <w:r w:rsidRPr="00C90D0D">
        <w:t xml:space="preserve"> o któr</w:t>
      </w:r>
      <w:r w:rsidR="005624B8" w:rsidRPr="00C90D0D">
        <w:t>ej</w:t>
      </w:r>
      <w:r w:rsidRPr="00C90D0D">
        <w:t xml:space="preserve"> mowa w ust. 9, przysługuje odwołanie do sądu pracy i ubezpieczeń społecznych w terminie 14 dni od dnia otrzymania </w:t>
      </w:r>
      <w:r w:rsidR="005624B8" w:rsidRPr="00C90D0D">
        <w:t>odmowy</w:t>
      </w:r>
      <w:r w:rsidRPr="00C90D0D">
        <w:t>.</w:t>
      </w:r>
    </w:p>
    <w:p w:rsidR="00452E34" w:rsidRPr="00C90D0D" w:rsidRDefault="00452E34" w:rsidP="00452E34">
      <w:pPr>
        <w:pStyle w:val="USTustnpkodeksu"/>
      </w:pPr>
      <w:r w:rsidRPr="00C90D0D">
        <w:t xml:space="preserve">11. Przedsiębiorstwo wypłacające, z inicjatywy własnej albo na wniosek osoby uprawnionej, prostuje błędy pisarskie oraz inne oczywiste omyłki w </w:t>
      </w:r>
      <w:r w:rsidR="005624B8" w:rsidRPr="00C90D0D">
        <w:t>odmowie</w:t>
      </w:r>
      <w:r w:rsidRPr="00C90D0D">
        <w:t>, o któr</w:t>
      </w:r>
      <w:r w:rsidR="005624B8" w:rsidRPr="00C90D0D">
        <w:t>ej</w:t>
      </w:r>
      <w:r w:rsidRPr="00C90D0D">
        <w:t xml:space="preserve"> mowa w ust. 9.</w:t>
      </w:r>
    </w:p>
    <w:p w:rsidR="00452E34" w:rsidRPr="00C90D0D" w:rsidRDefault="00452E34" w:rsidP="00452E34">
      <w:pPr>
        <w:pStyle w:val="ARTartustawynprozporzdzenia"/>
      </w:pPr>
      <w:r w:rsidRPr="00C90D0D">
        <w:rPr>
          <w:rStyle w:val="Ppogrubienie"/>
        </w:rPr>
        <w:t xml:space="preserve">Art. 6. </w:t>
      </w:r>
      <w:r w:rsidRPr="00C90D0D">
        <w:t xml:space="preserve">1. Rekompensaty są finansowane z dotacji celowej przyznawanej przez ministra właściwego do spraw gospodarki złożami kopalin, zwanego dalej </w:t>
      </w:r>
      <w:r w:rsidRPr="00C90D0D">
        <w:rPr>
          <w:rFonts w:cs="Times"/>
        </w:rPr>
        <w:t>„</w:t>
      </w:r>
      <w:r w:rsidRPr="00C90D0D">
        <w:t>ministrem”.</w:t>
      </w:r>
    </w:p>
    <w:p w:rsidR="00452E34" w:rsidRPr="00C90D0D" w:rsidRDefault="00452E34" w:rsidP="00452E34">
      <w:pPr>
        <w:pStyle w:val="USTustnpkodeksu"/>
      </w:pPr>
      <w:r w:rsidRPr="00C90D0D">
        <w:t>2. Dotację, o której mowa w ust. 1, przyznaje się na wniosek przedsiębiorstwa wypłacającego złożony do ministra.</w:t>
      </w:r>
    </w:p>
    <w:p w:rsidR="00452E34" w:rsidRPr="00C90D0D" w:rsidRDefault="00452E34" w:rsidP="00C90D0D">
      <w:pPr>
        <w:pStyle w:val="USTustnpkodeksu"/>
        <w:keepNext/>
      </w:pPr>
      <w:r w:rsidRPr="00C90D0D">
        <w:t>3. Wniosek, o którym mowa w ust. 2, zawiera:</w:t>
      </w:r>
    </w:p>
    <w:p w:rsidR="00452E34" w:rsidRPr="00C90D0D" w:rsidRDefault="00452E34" w:rsidP="00452E34">
      <w:pPr>
        <w:pStyle w:val="PKTpunkt"/>
      </w:pPr>
      <w:r w:rsidRPr="00C90D0D">
        <w:t>1)</w:t>
      </w:r>
      <w:r w:rsidRPr="00C90D0D">
        <w:tab/>
        <w:t>nazwę przedsiębiorstwa wypłacającego;</w:t>
      </w:r>
    </w:p>
    <w:p w:rsidR="00452E34" w:rsidRPr="00C90D0D" w:rsidRDefault="00452E34" w:rsidP="00452E34">
      <w:pPr>
        <w:pStyle w:val="PKTpunkt"/>
      </w:pPr>
      <w:r w:rsidRPr="00C90D0D">
        <w:t>2)</w:t>
      </w:r>
      <w:r w:rsidRPr="00C90D0D">
        <w:tab/>
        <w:t>adres siedziby przedsiębiorstwa wypłacającego;</w:t>
      </w:r>
    </w:p>
    <w:p w:rsidR="00452E34" w:rsidRPr="00C90D0D" w:rsidRDefault="00452E34" w:rsidP="00452E34">
      <w:pPr>
        <w:pStyle w:val="PKTpunkt"/>
      </w:pPr>
      <w:r w:rsidRPr="00C90D0D">
        <w:t>3)</w:t>
      </w:r>
      <w:r w:rsidRPr="00C90D0D">
        <w:tab/>
        <w:t xml:space="preserve">liczbę osób uprawnionych, którym ma być wypłacona rekompensata, ze wskazaniem przedsiębiorstwa górniczego, z którego osoby uprawnione, o których mowa w art. 2 pkt 1 lit. a, </w:t>
      </w:r>
      <w:r w:rsidR="005624B8" w:rsidRPr="00C90D0D">
        <w:t xml:space="preserve">przeszły </w:t>
      </w:r>
      <w:r w:rsidRPr="00C90D0D">
        <w:t>na emeryturę lub rentę;</w:t>
      </w:r>
    </w:p>
    <w:p w:rsidR="00452E34" w:rsidRPr="00C90D0D" w:rsidRDefault="00452E34" w:rsidP="00452E34">
      <w:pPr>
        <w:pStyle w:val="PKTpunkt"/>
      </w:pPr>
      <w:r w:rsidRPr="00C90D0D">
        <w:t>4)</w:t>
      </w:r>
      <w:r w:rsidRPr="00C90D0D">
        <w:tab/>
        <w:t>kwotę dotacji, o której mowa w ust. 1;</w:t>
      </w:r>
    </w:p>
    <w:p w:rsidR="00452E34" w:rsidRPr="00C90D0D" w:rsidRDefault="00452E34" w:rsidP="00452E34">
      <w:pPr>
        <w:pStyle w:val="PKTpunkt"/>
      </w:pPr>
      <w:r w:rsidRPr="00C90D0D">
        <w:t>5)</w:t>
      </w:r>
      <w:r w:rsidRPr="00C90D0D">
        <w:tab/>
        <w:t>podpis osoby upoważnionej do reprezentacji przedsiębiorstwa wypłacającego.</w:t>
      </w:r>
    </w:p>
    <w:p w:rsidR="00452E34" w:rsidRPr="00C90D0D" w:rsidRDefault="00452E34" w:rsidP="00452E34">
      <w:pPr>
        <w:pStyle w:val="USTustnpkodeksu"/>
      </w:pPr>
      <w:r w:rsidRPr="00C90D0D">
        <w:t>4. W przypadku gdy wniosek, o którym mowa w ust. 2, zawiera braki formalne, minister wzywa przedsiębiorstwo wypłacające do ich uzupełnienia w terminie 7 dni od dnia doręczenia wezwania pod rygorem pozostawienia wniosku bez rozpoznania.</w:t>
      </w:r>
    </w:p>
    <w:p w:rsidR="00452E34" w:rsidRPr="00C90D0D" w:rsidRDefault="00452E34" w:rsidP="00452E34">
      <w:pPr>
        <w:pStyle w:val="USTustnpkodeksu"/>
      </w:pPr>
      <w:r w:rsidRPr="00C90D0D">
        <w:t>5. Podstawą przekazywania środków z dotacji, o której mowa w ust. 1, jest umowa zawarta między ministrem a przedsiębiorstwem wypłacającym, które złożyło wniosek, o którym mowa w ust. 2.</w:t>
      </w:r>
    </w:p>
    <w:p w:rsidR="00452E34" w:rsidRPr="00C90D0D" w:rsidRDefault="00452E34" w:rsidP="00452E34">
      <w:pPr>
        <w:pStyle w:val="USTustnpkodeksu"/>
      </w:pPr>
      <w:r w:rsidRPr="00C90D0D">
        <w:lastRenderedPageBreak/>
        <w:t>6. Środki z dotacji,</w:t>
      </w:r>
      <w:r w:rsidRPr="00C90D0D">
        <w:rPr>
          <w:rStyle w:val="Ppogrubienie"/>
          <w:bCs w:val="0"/>
        </w:rPr>
        <w:t xml:space="preserve"> </w:t>
      </w:r>
      <w:r w:rsidRPr="00C90D0D">
        <w:t>o której mowa w ust. 1, są przekazywane na rachunek bankowy wyodrębniony w tym celu przez przedsiębiorstwo wypłacające i są odrębnie ewidencjonowane.</w:t>
      </w:r>
    </w:p>
    <w:p w:rsidR="00452E34" w:rsidRPr="00C90D0D" w:rsidRDefault="00452E34" w:rsidP="00452E34">
      <w:pPr>
        <w:pStyle w:val="ARTartustawynprozporzdzenia"/>
      </w:pPr>
      <w:r w:rsidRPr="00C90D0D">
        <w:rPr>
          <w:rStyle w:val="Ppogrubienie"/>
        </w:rPr>
        <w:t>Art. 7.</w:t>
      </w:r>
      <w:r w:rsidRPr="00C90D0D">
        <w:t xml:space="preserve"> 1. Przedsiębiorstwo wypłacające sporządza rozliczenie przyznanej dotacji, o której mowa w art. 6 ust. 1, i przekazuje je ministrowi w terminie 15 dni od dnia zakończenia wypłacania rekompensat. </w:t>
      </w:r>
    </w:p>
    <w:p w:rsidR="00452E34" w:rsidRPr="00C90D0D" w:rsidRDefault="00452E34" w:rsidP="00452E34">
      <w:pPr>
        <w:pStyle w:val="USTustnpkodeksu"/>
      </w:pPr>
      <w:r w:rsidRPr="00C90D0D">
        <w:t xml:space="preserve">2. Rozliczenie, o którym mowa w ust. 1, zawiera zestawienie otrzymanych kwot dotacji, o której mowa w art. 6 ust. 1, oraz rozliczenie wydatkowanych kwot tej dotacji. </w:t>
      </w:r>
    </w:p>
    <w:p w:rsidR="00452E34" w:rsidRPr="00C90D0D" w:rsidRDefault="00452E34" w:rsidP="00452E34">
      <w:pPr>
        <w:pStyle w:val="ARTartustawynprozporzdzenia"/>
      </w:pPr>
      <w:r w:rsidRPr="00C90D0D">
        <w:rPr>
          <w:rStyle w:val="Ppogrubienie"/>
        </w:rPr>
        <w:t>Art. 8.</w:t>
      </w:r>
      <w:r w:rsidRPr="00C90D0D">
        <w:t xml:space="preserve"> Z kwoty rekompensaty nie dokonuje się potrąceń i egzekucji.</w:t>
      </w:r>
    </w:p>
    <w:p w:rsidR="00452E34" w:rsidRPr="00C90D0D" w:rsidRDefault="00452E34" w:rsidP="00452E34">
      <w:pPr>
        <w:pStyle w:val="ARTartustawynprozporzdzenia"/>
      </w:pPr>
      <w:r w:rsidRPr="00C90D0D">
        <w:rPr>
          <w:rStyle w:val="Ppogrubienie"/>
        </w:rPr>
        <w:t>Art. 9.</w:t>
      </w:r>
      <w:r w:rsidRPr="00C90D0D">
        <w:t xml:space="preserve"> Kwota rekompensaty nie stanowi podstawy wymiaru składek na ubezpieczenie zdrowotne.</w:t>
      </w:r>
    </w:p>
    <w:p w:rsidR="00452E34" w:rsidRPr="00C90D0D" w:rsidRDefault="00452E34" w:rsidP="00C90D0D">
      <w:pPr>
        <w:pStyle w:val="ARTartustawynprozporzdzenia"/>
        <w:keepNext/>
      </w:pPr>
      <w:r w:rsidRPr="00C90D0D">
        <w:rPr>
          <w:rStyle w:val="Ppogrubienie"/>
        </w:rPr>
        <w:t>Art. 10.</w:t>
      </w:r>
      <w:r w:rsidRPr="00C90D0D">
        <w:t xml:space="preserve"> Kwoty rekompensaty nie wlicza się do dochodu, o którym mowa w:</w:t>
      </w:r>
    </w:p>
    <w:p w:rsidR="00452E34" w:rsidRPr="00C90D0D" w:rsidRDefault="00452E34" w:rsidP="00452E34">
      <w:pPr>
        <w:pStyle w:val="PKTpunkt"/>
      </w:pPr>
      <w:r w:rsidRPr="00C90D0D">
        <w:t>1)</w:t>
      </w:r>
      <w:r w:rsidRPr="00C90D0D">
        <w:tab/>
        <w:t>art. 3 ust. 3 ustawy z dnia 21 czerwca 2001 r. o dodatkach mieszkaniowych (Dz. U. z 2017 r. poz. 180);</w:t>
      </w:r>
    </w:p>
    <w:p w:rsidR="00452E34" w:rsidRPr="00C90D0D" w:rsidRDefault="00452E34" w:rsidP="00452E34">
      <w:pPr>
        <w:pStyle w:val="PKTpunkt"/>
      </w:pPr>
      <w:r w:rsidRPr="00C90D0D">
        <w:t>2)</w:t>
      </w:r>
      <w:r w:rsidRPr="00C90D0D">
        <w:tab/>
        <w:t>art. 8 ust. 3 ustawy z dnia 12 marca 2004 r. o pomocy społecznej (Dz. U. z 2017 r. poz. 1769).</w:t>
      </w:r>
    </w:p>
    <w:p w:rsidR="00452E34" w:rsidRPr="00C90D0D" w:rsidRDefault="00452E34" w:rsidP="00452E34">
      <w:pPr>
        <w:pStyle w:val="ARTartustawynprozporzdzenia"/>
      </w:pPr>
      <w:r w:rsidRPr="00C90D0D">
        <w:rPr>
          <w:rStyle w:val="Ppogrubienie"/>
        </w:rPr>
        <w:t>Art. 11.</w:t>
      </w:r>
      <w:r w:rsidRPr="00C90D0D">
        <w:t xml:space="preserve"> 1. W roku 2017 maksymalny limit wydatków z budżetu państwa będący skutkiem finansowym wejścia w życie ustawy wynosi 2 353,8 mln zł.</w:t>
      </w:r>
    </w:p>
    <w:p w:rsidR="00452E34" w:rsidRPr="00C90D0D" w:rsidRDefault="00452E34" w:rsidP="00452E34">
      <w:pPr>
        <w:pStyle w:val="USTustnpkodeksu"/>
      </w:pPr>
      <w:r w:rsidRPr="00C90D0D">
        <w:t>2. Agencja Rozwoju Przemysłu S</w:t>
      </w:r>
      <w:r w:rsidR="005624B8" w:rsidRPr="00C90D0D">
        <w:t xml:space="preserve">półka </w:t>
      </w:r>
      <w:r w:rsidRPr="00C90D0D">
        <w:t>A</w:t>
      </w:r>
      <w:r w:rsidR="00B649D7" w:rsidRPr="00C90D0D">
        <w:t>kcyjna z siedzibą w Warszawie</w:t>
      </w:r>
      <w:r w:rsidRPr="00C90D0D">
        <w:t>, na zlecenie ministra, monitoruje wykorzystanie dotacji, o której mowa w art. 6 ust. 1.</w:t>
      </w:r>
    </w:p>
    <w:p w:rsidR="00452E34" w:rsidRPr="00C90D0D" w:rsidRDefault="00452E34" w:rsidP="00C90D0D">
      <w:pPr>
        <w:pStyle w:val="ARTartustawynprozporzdzenia"/>
        <w:keepNext/>
      </w:pPr>
      <w:r w:rsidRPr="00C90D0D">
        <w:rPr>
          <w:rStyle w:val="Ppogrubienie"/>
        </w:rPr>
        <w:t>Art. 12.</w:t>
      </w:r>
      <w:r w:rsidRPr="00C90D0D">
        <w:t xml:space="preserve"> W ustawie z dnia 26 lipca 1991 r. o podatku dochodowym od osób fizycznych (Dz. U. z 2016 r. poz. 2032, z późn. zm.</w:t>
      </w:r>
      <w:r w:rsidRPr="00C90D0D">
        <w:rPr>
          <w:rStyle w:val="IGindeksgrny"/>
        </w:rPr>
        <w:footnoteReference w:id="2"/>
      </w:r>
      <w:r w:rsidRPr="00C90D0D">
        <w:rPr>
          <w:rStyle w:val="IGindeksgrny"/>
        </w:rPr>
        <w:t>)</w:t>
      </w:r>
      <w:r w:rsidRPr="00C90D0D">
        <w:t>) po art. 52g dodaje się art. 52h w brzmieniu:</w:t>
      </w:r>
    </w:p>
    <w:p w:rsidR="00452E34" w:rsidRPr="00C90D0D" w:rsidRDefault="00452E34" w:rsidP="00452E34">
      <w:pPr>
        <w:pStyle w:val="ZARTzmartartykuempunktem"/>
      </w:pPr>
      <w:r w:rsidRPr="007F1827">
        <w:t>„</w:t>
      </w:r>
      <w:r w:rsidRPr="00760A7A">
        <w:t>Art. 52h.</w:t>
      </w:r>
      <w:r w:rsidRPr="00C90D0D">
        <w:t xml:space="preserve"> Zwalnia się od podatku dochodowego kwoty świadczenia rekompensacyjnego z tytułu utraty prawa do bezpłatnego węgla, o którym mowa w ustawie z dnia </w:t>
      </w:r>
      <w:r w:rsidR="00760A7A">
        <w:t>12 października 2017 r.</w:t>
      </w:r>
      <w:r w:rsidRPr="00C90D0D">
        <w:t xml:space="preserve"> o świadczeniu rekompensacyjnym z tytułu utraty prawa do bezpłatnego węgla (Dz. U. poz. ...).”.</w:t>
      </w:r>
    </w:p>
    <w:p w:rsidR="00452E34" w:rsidRPr="00C90D0D" w:rsidRDefault="00452E34" w:rsidP="00452E34">
      <w:pPr>
        <w:pStyle w:val="ARTartustawynprozporzdzenia"/>
      </w:pPr>
      <w:r w:rsidRPr="00C90D0D">
        <w:rPr>
          <w:rStyle w:val="Ppogrubienie"/>
        </w:rPr>
        <w:t xml:space="preserve">Art. 13. </w:t>
      </w:r>
      <w:r w:rsidRPr="00C90D0D">
        <w:t>1. Sąd umarza wszczęte i niezakończone przed dniem wejścia w życie ustawy postępowania dotyczące roszczeń z tytułu prawa do bezpłatnego węgla, po otrzymaniu od przedsiębiorstwa wypłacającego informacji o wypłacie rekompensaty.</w:t>
      </w:r>
    </w:p>
    <w:p w:rsidR="00452E34" w:rsidRPr="00C90D0D" w:rsidRDefault="00452E34" w:rsidP="00452E34">
      <w:pPr>
        <w:pStyle w:val="USTustnpkodeksu"/>
      </w:pPr>
      <w:r w:rsidRPr="00C90D0D">
        <w:lastRenderedPageBreak/>
        <w:t>2. Przedsiębiorstwo wypłacające przekazuje informację, o której mowa w ust. 1, niezwłocznie po wypłacie rekompensaty.</w:t>
      </w:r>
    </w:p>
    <w:p w:rsidR="00452E34" w:rsidRPr="00C90D0D" w:rsidRDefault="00452E34" w:rsidP="00452E34">
      <w:pPr>
        <w:pStyle w:val="ARTartustawynprozporzdzenia"/>
      </w:pPr>
      <w:r w:rsidRPr="00C90D0D">
        <w:rPr>
          <w:rStyle w:val="Ppogrubienie"/>
        </w:rPr>
        <w:t xml:space="preserve">Art. 14. </w:t>
      </w:r>
      <w:r w:rsidRPr="00C90D0D">
        <w:t>Z dniem wejścia w życie ustawy przedsiębiorstwo wypłacające zamieszcza na swojej stronie internetowej wzór wniosku o wypłatę rekompensaty oraz wzór oświadczenia, o którym mowa w art. 5 ust. 3 pkt 2.</w:t>
      </w:r>
    </w:p>
    <w:p w:rsidR="00452E34" w:rsidRPr="00C90D0D" w:rsidRDefault="00452E34" w:rsidP="00452E34">
      <w:pPr>
        <w:pStyle w:val="ARTartustawynprozporzdzenia"/>
      </w:pPr>
      <w:r w:rsidRPr="00C90D0D">
        <w:rPr>
          <w:rStyle w:val="Ppogrubienie"/>
        </w:rPr>
        <w:t>Art. 15.</w:t>
      </w:r>
      <w:r w:rsidRPr="00C90D0D">
        <w:t xml:space="preserve"> Ustawa wchodzi w życie z dniem następującym po dniu ogłoszenia. </w:t>
      </w:r>
    </w:p>
    <w:p w:rsidR="00452E34" w:rsidRPr="00C90D0D" w:rsidRDefault="00452E34" w:rsidP="00452E34">
      <w:pPr>
        <w:pStyle w:val="OZNPARAFYADNOTACJE"/>
      </w:pPr>
    </w:p>
    <w:p w:rsidR="005E31CC" w:rsidRPr="00C90D0D" w:rsidRDefault="005E31CC" w:rsidP="00251963">
      <w:pPr>
        <w:rPr>
          <w:rStyle w:val="Ppogrubienie"/>
          <w:b w:val="0"/>
        </w:rPr>
      </w:pPr>
    </w:p>
    <w:p w:rsidR="005A5F38" w:rsidRPr="00C90D0D" w:rsidRDefault="005A5F38" w:rsidP="005A5F38">
      <w:pPr>
        <w:pStyle w:val="tekst"/>
        <w:tabs>
          <w:tab w:val="center" w:pos="6804"/>
        </w:tabs>
      </w:pPr>
    </w:p>
    <w:p w:rsidR="005A5F38" w:rsidRPr="00C90D0D" w:rsidRDefault="005A5F38" w:rsidP="005A5F38">
      <w:pPr>
        <w:pStyle w:val="tekst"/>
        <w:tabs>
          <w:tab w:val="center" w:pos="6804"/>
        </w:tabs>
        <w:spacing w:line="276" w:lineRule="auto"/>
      </w:pPr>
      <w:r w:rsidRPr="00C90D0D">
        <w:tab/>
        <w:t>MARSZAŁEK SEJMU</w:t>
      </w:r>
    </w:p>
    <w:p w:rsidR="005A5F38" w:rsidRPr="00C90D0D" w:rsidRDefault="005A5F38" w:rsidP="005A5F38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5A5F38" w:rsidRPr="00C90D0D" w:rsidRDefault="005A5F38" w:rsidP="005A5F38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5A5F38" w:rsidRPr="00C90D0D" w:rsidRDefault="005A5F38" w:rsidP="005A5F38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5A5F38" w:rsidRPr="00C90D0D" w:rsidRDefault="005A5F38" w:rsidP="005A5F38">
      <w:pPr>
        <w:pStyle w:val="tekst"/>
        <w:tabs>
          <w:tab w:val="center" w:pos="6804"/>
        </w:tabs>
        <w:spacing w:line="276" w:lineRule="auto"/>
      </w:pPr>
      <w:r w:rsidRPr="00C90D0D">
        <w:tab/>
        <w:t>Marek Kuchciński</w:t>
      </w:r>
    </w:p>
    <w:p w:rsidR="005A5F38" w:rsidRPr="00C90D0D" w:rsidRDefault="005A5F38" w:rsidP="00251963">
      <w:pPr>
        <w:rPr>
          <w:rStyle w:val="Ppogrubienie"/>
          <w:b w:val="0"/>
        </w:rPr>
      </w:pPr>
    </w:p>
    <w:sectPr w:rsidR="005A5F38" w:rsidRPr="00C90D0D" w:rsidSect="005A5F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A0" w:rsidRDefault="00CA2DA0">
      <w:r>
        <w:separator/>
      </w:r>
    </w:p>
  </w:endnote>
  <w:endnote w:type="continuationSeparator" w:id="0">
    <w:p w:rsidR="00CA2DA0" w:rsidRDefault="00CA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EE" w:rsidRDefault="000F0D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EE" w:rsidRDefault="000F0D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EE" w:rsidRDefault="000F0D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A0" w:rsidRDefault="00CA2DA0">
      <w:r>
        <w:separator/>
      </w:r>
    </w:p>
  </w:footnote>
  <w:footnote w:type="continuationSeparator" w:id="0">
    <w:p w:rsidR="00CA2DA0" w:rsidRDefault="00CA2DA0">
      <w:r>
        <w:continuationSeparator/>
      </w:r>
    </w:p>
  </w:footnote>
  <w:footnote w:id="1">
    <w:p w:rsidR="00452E34" w:rsidRDefault="00452E34" w:rsidP="00452E3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Niniejszą ustawą zmienia się ustawę z dnia 26 lipca 1991 r. o podatku dochodowym od osób fizycznych.</w:t>
      </w:r>
    </w:p>
  </w:footnote>
  <w:footnote w:id="2">
    <w:p w:rsidR="00452E34" w:rsidRDefault="00452E34" w:rsidP="00452E3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2016 r. poz. 2048 oraz z 2017 r. poz. 60, 528, 648, 859, 1089, 1428, 1448 i 1530.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EE" w:rsidRDefault="000F0D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067308"/>
      <w:docPartObj>
        <w:docPartGallery w:val="Page Numbers (Top of Page)"/>
        <w:docPartUnique/>
      </w:docPartObj>
    </w:sdtPr>
    <w:sdtEndPr/>
    <w:sdtContent>
      <w:p w:rsidR="005A5F38" w:rsidRDefault="005A5F3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A58">
          <w:rPr>
            <w:noProof/>
          </w:rPr>
          <w:t>2</w:t>
        </w:r>
        <w:r>
          <w:fldChar w:fldCharType="end"/>
        </w:r>
      </w:p>
    </w:sdtContent>
  </w:sdt>
  <w:p w:rsidR="00CC3E3D" w:rsidRPr="005A5F38" w:rsidRDefault="00CC3E3D" w:rsidP="005A5F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EE" w:rsidRDefault="000F0D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0DEE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0D3E"/>
    <w:rsid w:val="0011245A"/>
    <w:rsid w:val="0011493E"/>
    <w:rsid w:val="00115B72"/>
    <w:rsid w:val="001207F5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708"/>
    <w:rsid w:val="001A3CD3"/>
    <w:rsid w:val="001A5BEF"/>
    <w:rsid w:val="001A7F15"/>
    <w:rsid w:val="001B342E"/>
    <w:rsid w:val="001C1832"/>
    <w:rsid w:val="001C188C"/>
    <w:rsid w:val="001C2F07"/>
    <w:rsid w:val="001D1783"/>
    <w:rsid w:val="001D53CD"/>
    <w:rsid w:val="001D55A3"/>
    <w:rsid w:val="001D5AF5"/>
    <w:rsid w:val="001E1E73"/>
    <w:rsid w:val="001E4E0C"/>
    <w:rsid w:val="001E526D"/>
    <w:rsid w:val="001E5655"/>
    <w:rsid w:val="001E69D2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2E34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297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24B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751"/>
    <w:rsid w:val="0058397F"/>
    <w:rsid w:val="00583BF8"/>
    <w:rsid w:val="00585F33"/>
    <w:rsid w:val="00591124"/>
    <w:rsid w:val="00592319"/>
    <w:rsid w:val="00597024"/>
    <w:rsid w:val="005A0274"/>
    <w:rsid w:val="005A095C"/>
    <w:rsid w:val="005A5F38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155C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4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0A7A"/>
    <w:rsid w:val="00760B08"/>
    <w:rsid w:val="007610E0"/>
    <w:rsid w:val="007621AA"/>
    <w:rsid w:val="0076260A"/>
    <w:rsid w:val="00764A67"/>
    <w:rsid w:val="00770F6B"/>
    <w:rsid w:val="00771883"/>
    <w:rsid w:val="00776052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1827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A1B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21E1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C6E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5FAA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9D7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18A0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0D0D"/>
    <w:rsid w:val="00C92840"/>
    <w:rsid w:val="00CA154B"/>
    <w:rsid w:val="00CA2DA0"/>
    <w:rsid w:val="00CB18D0"/>
    <w:rsid w:val="00CB1C8A"/>
    <w:rsid w:val="00CB24F5"/>
    <w:rsid w:val="00CB2663"/>
    <w:rsid w:val="00CB3BBE"/>
    <w:rsid w:val="00CB518A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5F9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138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4321"/>
    <w:rsid w:val="00E170B7"/>
    <w:rsid w:val="00E177DD"/>
    <w:rsid w:val="00E20900"/>
    <w:rsid w:val="00E20C7F"/>
    <w:rsid w:val="00E2396E"/>
    <w:rsid w:val="00E24728"/>
    <w:rsid w:val="00E276AC"/>
    <w:rsid w:val="00E34A35"/>
    <w:rsid w:val="00E35A58"/>
    <w:rsid w:val="00E37C2F"/>
    <w:rsid w:val="00E40C31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29B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57564"/>
    <w:rsid w:val="00F600FE"/>
    <w:rsid w:val="00F62E4D"/>
    <w:rsid w:val="00F63A44"/>
    <w:rsid w:val="00F65A5A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9643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3EED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character" w:styleId="Pogrubienie">
    <w:name w:val="Strong"/>
    <w:basedOn w:val="Domylnaczcionkaakapitu"/>
    <w:uiPriority w:val="99"/>
    <w:qFormat/>
    <w:rsid w:val="00452E34"/>
    <w:rPr>
      <w:b/>
      <w:bCs/>
    </w:rPr>
  </w:style>
  <w:style w:type="paragraph" w:customStyle="1" w:styleId="tytu">
    <w:name w:val="tytuł"/>
    <w:basedOn w:val="Normalny"/>
    <w:rsid w:val="005A5F38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5A5F38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character" w:styleId="Pogrubienie">
    <w:name w:val="Strong"/>
    <w:basedOn w:val="Domylnaczcionkaakapitu"/>
    <w:uiPriority w:val="99"/>
    <w:qFormat/>
    <w:rsid w:val="00452E34"/>
    <w:rPr>
      <w:b/>
      <w:bCs/>
    </w:rPr>
  </w:style>
  <w:style w:type="paragraph" w:customStyle="1" w:styleId="tytu">
    <w:name w:val="tytuł"/>
    <w:basedOn w:val="Normalny"/>
    <w:rsid w:val="005A5F38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5A5F38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AF7CF5-F727-41A3-81EC-D375D408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6</Pages>
  <Words>1530</Words>
  <Characters>8843</Characters>
  <Application>Microsoft Office Word</Application>
  <DocSecurity>4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2017-10-12T16:23:00Z</cp:lastPrinted>
  <dcterms:created xsi:type="dcterms:W3CDTF">2017-10-13T11:18:00Z</dcterms:created>
  <dcterms:modified xsi:type="dcterms:W3CDTF">2017-10-13T11:18:00Z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