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E45" w:rsidRDefault="00945E45" w:rsidP="00945E45">
      <w:pPr>
        <w:pStyle w:val="tytu"/>
      </w:pPr>
      <w:bookmarkStart w:id="0" w:name="_GoBack"/>
      <w:bookmarkEnd w:id="0"/>
    </w:p>
    <w:p w:rsidR="00B25070" w:rsidRDefault="00B25070" w:rsidP="00945E45">
      <w:pPr>
        <w:pStyle w:val="tytu"/>
      </w:pPr>
    </w:p>
    <w:p w:rsidR="00984969" w:rsidRDefault="00984969" w:rsidP="000E3987">
      <w:pPr>
        <w:pStyle w:val="OZNRODZAKTUtznustawalubrozporzdzenieiorganwydajcy"/>
      </w:pPr>
    </w:p>
    <w:p w:rsidR="000E3987" w:rsidRPr="00776C7A" w:rsidRDefault="000E3987" w:rsidP="000E3987">
      <w:pPr>
        <w:pStyle w:val="OZNRODZAKTUtznustawalubrozporzdzenieiorganwydajcy"/>
      </w:pPr>
      <w:r w:rsidRPr="00776C7A">
        <w:t>ustawa</w:t>
      </w:r>
    </w:p>
    <w:p w:rsidR="000E3987" w:rsidRPr="00776C7A" w:rsidRDefault="000E3987" w:rsidP="000E3987">
      <w:pPr>
        <w:pStyle w:val="DATAAKTUdatauchwalenialubwydaniaaktu"/>
      </w:pPr>
      <w:r w:rsidRPr="00776C7A">
        <w:t>z dnia</w:t>
      </w:r>
      <w:r w:rsidR="0053619D">
        <w:t xml:space="preserve"> 22 lipca 2016 r.</w:t>
      </w:r>
    </w:p>
    <w:p w:rsidR="000E3987" w:rsidRPr="00776C7A" w:rsidRDefault="000E3987" w:rsidP="000E3987">
      <w:pPr>
        <w:pStyle w:val="TYTUAKTUprzedmiotregulacjiustawylubrozporzdzenia"/>
      </w:pPr>
      <w:r w:rsidRPr="00776C7A">
        <w:t>o zmianie ustawy – Kodeks postępowania cywilnego</w:t>
      </w:r>
      <w:r w:rsidR="00672E72">
        <w:t>, ustawy – Prawo o notariacie oraz ustawy o zmianie ustawy – Kodeks cywilny, ustawy – Kodeks postępowania cywilnego</w:t>
      </w:r>
      <w:r w:rsidRPr="00776C7A">
        <w:t xml:space="preserve"> oraz niektórych innych ustaw</w:t>
      </w:r>
      <w:r w:rsidRPr="004D53B9">
        <w:rPr>
          <w:rStyle w:val="IGPindeksgrnyipogrubienie"/>
        </w:rPr>
        <w:footnoteReference w:id="1"/>
      </w:r>
      <w:r w:rsidRPr="004D53B9">
        <w:rPr>
          <w:rStyle w:val="IGPindeksgrnyipogrubienie"/>
        </w:rPr>
        <w:t>)</w:t>
      </w:r>
    </w:p>
    <w:p w:rsidR="000E3987" w:rsidRPr="000E3987" w:rsidRDefault="000E3987" w:rsidP="000E3987">
      <w:pPr>
        <w:pStyle w:val="ARTartustawynprozporzdzenia"/>
      </w:pPr>
      <w:r w:rsidRPr="004153C2">
        <w:rPr>
          <w:rStyle w:val="Ppogrubienie"/>
        </w:rPr>
        <w:t>Art.</w:t>
      </w:r>
      <w:r w:rsidRPr="000E3987">
        <w:rPr>
          <w:rStyle w:val="Ppogrubienie"/>
        </w:rPr>
        <w:t> 1.</w:t>
      </w:r>
      <w:r w:rsidRPr="000E3987">
        <w:t xml:space="preserve"> W ustawie z dnia 17 listopada 1964 r. – Kodeks </w:t>
      </w:r>
      <w:r w:rsidR="00CF2218">
        <w:t>postępowania cywilnego (Dz. U. </w:t>
      </w:r>
      <w:r w:rsidRPr="000E3987">
        <w:t xml:space="preserve">z 2014 r. poz. 101, z </w:t>
      </w:r>
      <w:proofErr w:type="spellStart"/>
      <w:r w:rsidRPr="000E3987">
        <w:t>późn</w:t>
      </w:r>
      <w:proofErr w:type="spellEnd"/>
      <w:r w:rsidRPr="000E3987">
        <w:t>. zm.</w:t>
      </w:r>
      <w:r w:rsidRPr="000E3987">
        <w:rPr>
          <w:rStyle w:val="IGindeksgrny"/>
        </w:rPr>
        <w:footnoteReference w:id="2"/>
      </w:r>
      <w:r w:rsidRPr="000E3987">
        <w:rPr>
          <w:rStyle w:val="IGindeksgrny"/>
        </w:rPr>
        <w:t>)</w:t>
      </w:r>
      <w:r w:rsidRPr="000E3987">
        <w:t xml:space="preserve">) w części czwartej w księdze drugiej w tytule </w:t>
      </w:r>
      <w:proofErr w:type="spellStart"/>
      <w:r w:rsidRPr="000E3987">
        <w:t>VIIa</w:t>
      </w:r>
      <w:proofErr w:type="spellEnd"/>
      <w:r w:rsidRPr="000E3987">
        <w:t xml:space="preserve"> po art. 1142</w:t>
      </w:r>
      <w:r w:rsidRPr="000E3987">
        <w:rPr>
          <w:rStyle w:val="IGindeksgrny"/>
        </w:rPr>
        <w:t xml:space="preserve">6 </w:t>
      </w:r>
      <w:r w:rsidRPr="000E3987">
        <w:t>dodaje się art. 1142</w:t>
      </w:r>
      <w:r w:rsidRPr="000E3987">
        <w:rPr>
          <w:rStyle w:val="IGindeksgrny"/>
        </w:rPr>
        <w:t xml:space="preserve">7 </w:t>
      </w:r>
      <w:r w:rsidRPr="000E3987">
        <w:t>w brzmieniu:</w:t>
      </w:r>
    </w:p>
    <w:p w:rsidR="000E3987" w:rsidRDefault="000E3987" w:rsidP="000E3987">
      <w:pPr>
        <w:pStyle w:val="ZARTzmartartykuempunktem"/>
      </w:pPr>
      <w:r>
        <w:t>„Art.</w:t>
      </w:r>
      <w:r w:rsidRPr="00F26680">
        <w:t xml:space="preserve"> 1142</w:t>
      </w:r>
      <w:r w:rsidRPr="00F26680">
        <w:rPr>
          <w:rStyle w:val="IGindeksgrny"/>
        </w:rPr>
        <w:t>7</w:t>
      </w:r>
      <w:r>
        <w:t>. P</w:t>
      </w:r>
      <w:r w:rsidRPr="00196F26">
        <w:t xml:space="preserve">ostanowienie o </w:t>
      </w:r>
      <w:r>
        <w:t xml:space="preserve">wydaniu, sprostowaniu, </w:t>
      </w:r>
      <w:r w:rsidRPr="008C04D4">
        <w:t>zmianie lub uchyleniu europejskiego poświadczenia spadkowego albo o zawieszeniu jego skutków</w:t>
      </w:r>
      <w:r>
        <w:t xml:space="preserve"> oraz postanowienie o zmianie albo uchyleniu tych postanowień</w:t>
      </w:r>
      <w:r w:rsidRPr="008C04D4">
        <w:t xml:space="preserve"> </w:t>
      </w:r>
      <w:r w:rsidRPr="00196F26">
        <w:t>sąd niezwłocznie wpisuje, za pośrednictwem systemu teleinformatycznego,</w:t>
      </w:r>
      <w:r w:rsidR="00672E72">
        <w:t xml:space="preserve"> o którym mowa w art. 95i</w:t>
      </w:r>
      <w:r w:rsidRPr="00196F26">
        <w:t xml:space="preserve"> </w:t>
      </w:r>
      <w:r w:rsidR="00672E72" w:rsidRPr="0032357B">
        <w:t>§</w:t>
      </w:r>
      <w:r w:rsidR="00672E72">
        <w:t xml:space="preserve"> 1 ustawy z dnia 14 lutego 1991 r. – Prawo o notariacie, </w:t>
      </w:r>
      <w:r w:rsidRPr="00196F26">
        <w:t>do Rejestru Spadkowego.</w:t>
      </w:r>
      <w:r w:rsidRPr="00776C7A">
        <w:t>”.</w:t>
      </w:r>
    </w:p>
    <w:p w:rsidR="000E3987" w:rsidRPr="000E3987" w:rsidRDefault="000E3987" w:rsidP="000E3987">
      <w:pPr>
        <w:pStyle w:val="ARTartustawynprozporzdzenia"/>
      </w:pPr>
      <w:r w:rsidRPr="004153C2">
        <w:rPr>
          <w:rStyle w:val="Ppogrubienie"/>
        </w:rPr>
        <w:t>Art.</w:t>
      </w:r>
      <w:r w:rsidRPr="000E3987">
        <w:rPr>
          <w:rStyle w:val="Ppogrubienie"/>
        </w:rPr>
        <w:t> 2.</w:t>
      </w:r>
      <w:r w:rsidRPr="000E3987">
        <w:t xml:space="preserve"> W ustawie z dnia 14 lutego 1991 r. − Prawo o notariacie (Dz. U. z 2014 r. poz. 164, z </w:t>
      </w:r>
      <w:proofErr w:type="spellStart"/>
      <w:r w:rsidRPr="000E3987">
        <w:t>późn</w:t>
      </w:r>
      <w:proofErr w:type="spellEnd"/>
      <w:r w:rsidRPr="000E3987">
        <w:t>. zm.</w:t>
      </w:r>
      <w:r w:rsidRPr="000E3987">
        <w:rPr>
          <w:rStyle w:val="IGindeksgrny"/>
        </w:rPr>
        <w:footnoteReference w:id="3"/>
      </w:r>
      <w:r w:rsidRPr="000E3987">
        <w:rPr>
          <w:rStyle w:val="IGindeksgrny"/>
        </w:rPr>
        <w:t>)</w:t>
      </w:r>
      <w:r w:rsidRPr="000E3987">
        <w:t>) wprowadza się następujące zmiany:</w:t>
      </w:r>
    </w:p>
    <w:p w:rsidR="000E3987" w:rsidRPr="000E3987" w:rsidRDefault="000E3987" w:rsidP="000E3987">
      <w:pPr>
        <w:pStyle w:val="PKTpunkt"/>
      </w:pPr>
      <w:r>
        <w:t>1)</w:t>
      </w:r>
      <w:r>
        <w:tab/>
      </w:r>
      <w:r w:rsidRPr="000E3987">
        <w:t>w art. 92 § 8–10 otrzymują brzmienie:</w:t>
      </w:r>
    </w:p>
    <w:p w:rsidR="000E3987" w:rsidRPr="0032357B" w:rsidRDefault="000E3987" w:rsidP="000E3987">
      <w:pPr>
        <w:pStyle w:val="ZUSTzmustartykuempunktem"/>
      </w:pPr>
      <w:r w:rsidRPr="0032357B">
        <w:t>„§</w:t>
      </w:r>
      <w:r>
        <w:t xml:space="preserve"> </w:t>
      </w:r>
      <w:r w:rsidRPr="0032357B">
        <w:t>8.</w:t>
      </w:r>
      <w:r>
        <w:t xml:space="preserve"> </w:t>
      </w:r>
      <w:r w:rsidRPr="0032357B">
        <w:t xml:space="preserve">Jeżeli akt notarialny dotyczy umowy deweloperskiej, o której mowa w art. 3 pkt 5 ustawy z dnia 16 września 2011 r. o ochronie praw nabywcy lokalu mieszkalnego lub domu jednorodzinnego (Dz. U. </w:t>
      </w:r>
      <w:r>
        <w:t>z 2016 r. poz. 555</w:t>
      </w:r>
      <w:r w:rsidR="0054722C">
        <w:t xml:space="preserve"> i 996</w:t>
      </w:r>
      <w:r w:rsidRPr="0032357B">
        <w:t>), a</w:t>
      </w:r>
      <w:r>
        <w:t xml:space="preserve"> </w:t>
      </w:r>
      <w:r w:rsidRPr="0032357B">
        <w:t>deweloper jest właścicielem lub wieczystym użytkownikiem nieruchomości, notariusz sporządzający akt notarialny składa wniosek o wpis w księdze wieczystej roszczenia nabywcy, o którym mowa w</w:t>
      </w:r>
      <w:r>
        <w:t> </w:t>
      </w:r>
      <w:r w:rsidRPr="0032357B">
        <w:t>art.</w:t>
      </w:r>
      <w:r>
        <w:t> </w:t>
      </w:r>
      <w:r w:rsidRPr="0032357B">
        <w:t xml:space="preserve">23 ust. 2 tej ustawy, za </w:t>
      </w:r>
      <w:r w:rsidRPr="0032357B">
        <w:lastRenderedPageBreak/>
        <w:t>pośrednictwem systemu teleinformatycznego obsługującego postępowanie sądowe.</w:t>
      </w:r>
    </w:p>
    <w:p w:rsidR="000E3987" w:rsidRPr="0032357B" w:rsidRDefault="000E3987" w:rsidP="000E3987">
      <w:pPr>
        <w:pStyle w:val="ZUSTzmustartykuempunktem"/>
      </w:pPr>
      <w:r w:rsidRPr="0032357B">
        <w:t>§</w:t>
      </w:r>
      <w:r>
        <w:t xml:space="preserve"> </w:t>
      </w:r>
      <w:r w:rsidRPr="0032357B">
        <w:t>9. Jeżeli akt notarialny dotyczy umowy deweloperskiej, o której mowa w</w:t>
      </w:r>
      <w:r>
        <w:t xml:space="preserve"> </w:t>
      </w:r>
      <w:r w:rsidRPr="0032357B">
        <w:t>art.</w:t>
      </w:r>
      <w:r>
        <w:t xml:space="preserve"> </w:t>
      </w:r>
      <w:r w:rsidRPr="0032357B">
        <w:t xml:space="preserve">3 pkt 5 ustawy, o której mowa w § </w:t>
      </w:r>
      <w:smartTag w:uri="urn:schemas-microsoft-com:office:smarttags" w:element="metricconverter">
        <w:smartTagPr>
          <w:attr w:name="ProductID" w:val="8, a"/>
        </w:smartTagPr>
        <w:r w:rsidRPr="0032357B">
          <w:t>8, a</w:t>
        </w:r>
      </w:smartTag>
      <w:r w:rsidRPr="0032357B">
        <w:t xml:space="preserve"> deweloper nie jest właścicielem lub wieczystym użytkownikiem nieruchomości, notariusz sporządzający akt notarialny składa wniosek o</w:t>
      </w:r>
      <w:r>
        <w:t> </w:t>
      </w:r>
      <w:r w:rsidRPr="0032357B">
        <w:t>wpis w księdze wieczystej roszczenia nabywcy, o którym mowa w art. 23 ust. 2 tej ustawy, za pośrednictwem systemu teleinformatycznego obsługującego postępowanie sądowe, jeżeli deweloper przedłoży zgodę właściciela lub wieczystego użytkownika nieruchomości na wpis. W przypadku braku zgody notariusz poucza nabywcę o</w:t>
      </w:r>
      <w:r>
        <w:t> </w:t>
      </w:r>
      <w:r w:rsidRPr="0032357B">
        <w:t xml:space="preserve">skutkach braku wpisu i </w:t>
      </w:r>
      <w:r>
        <w:t xml:space="preserve">o </w:t>
      </w:r>
      <w:r w:rsidRPr="0032357B">
        <w:t>treści § 10.</w:t>
      </w:r>
    </w:p>
    <w:p w:rsidR="000E3987" w:rsidRPr="00761555" w:rsidRDefault="000E3987" w:rsidP="000E3987">
      <w:pPr>
        <w:pStyle w:val="ZUSTzmustartykuempunktem"/>
      </w:pPr>
      <w:r w:rsidRPr="0032357B">
        <w:t>§</w:t>
      </w:r>
      <w:r>
        <w:t xml:space="preserve"> </w:t>
      </w:r>
      <w:r w:rsidRPr="0032357B">
        <w:t xml:space="preserve">10. Jeżeli przed przeniesieniem własności lub użytkowania wieczystego nieruchomości, na której </w:t>
      </w:r>
      <w:r>
        <w:t xml:space="preserve">jest </w:t>
      </w:r>
      <w:r w:rsidRPr="0032357B">
        <w:t>prowadzone albo planowane przedsięwzięcie deweloperskie, o którym mowa w art. 3 pkt 6 ustawy, o której mowa w § 8, deweloper zawierał dotyczące tego przedsięwzięcia deweloperskiego umowy deweloperskie, o</w:t>
      </w:r>
      <w:r>
        <w:t> </w:t>
      </w:r>
      <w:r w:rsidRPr="0032357B">
        <w:t xml:space="preserve">których mowa w art. 3 pkt 5 tej ustawy, a roszczenia nabywców nie zostały wpisane do księgi wieczystej wskutek braku zgody, o której mowa w § 9, </w:t>
      </w:r>
      <w:r w:rsidR="00672E72">
        <w:t>notariusz</w:t>
      </w:r>
      <w:r>
        <w:t xml:space="preserve"> sporządzający akt notarialny przenoszący własność lub użytkowanie wieczyste</w:t>
      </w:r>
      <w:r w:rsidR="00672E72">
        <w:t xml:space="preserve"> nieruchomości na dewelopera</w:t>
      </w:r>
      <w:r>
        <w:t xml:space="preserve"> obejmuje wnioskiem, o którym mowa w </w:t>
      </w:r>
      <w:r w:rsidRPr="003974CA">
        <w:t>§</w:t>
      </w:r>
      <w:r>
        <w:t xml:space="preserve"> 4, także żądanie wpisu w księdze wieczystej roszczeń nabywców lokali mieszkalnych lub domów jednorodzinnych wynikających z umów deweloperskich, chyba że wynikające z nich zobowiązania wygasły.</w:t>
      </w:r>
      <w:r w:rsidRPr="00910229">
        <w:t>”</w:t>
      </w:r>
      <w:r>
        <w:t>;</w:t>
      </w:r>
    </w:p>
    <w:p w:rsidR="000E3987" w:rsidRPr="000E3987" w:rsidRDefault="000E3987" w:rsidP="000E3987">
      <w:pPr>
        <w:pStyle w:val="PKTpunkt"/>
      </w:pPr>
      <w:r>
        <w:t>2)</w:t>
      </w:r>
      <w:r>
        <w:tab/>
      </w:r>
      <w:r w:rsidRPr="000E3987">
        <w:t>w art. 95f § 2 otrzymuje brzmienie:</w:t>
      </w:r>
    </w:p>
    <w:p w:rsidR="000E3987" w:rsidRPr="00776C7A" w:rsidRDefault="000E3987" w:rsidP="000E3987">
      <w:pPr>
        <w:pStyle w:val="ZUSTzmustartykuempunktem"/>
      </w:pPr>
      <w:r>
        <w:t>„</w:t>
      </w:r>
      <w:r w:rsidRPr="000E3987">
        <w:t>§</w:t>
      </w:r>
      <w:r>
        <w:t xml:space="preserve"> 2. Przepisy art. 93 i art. 94 stosuje się odpowiednio.</w:t>
      </w:r>
      <w:r w:rsidRPr="00910229">
        <w:t>”</w:t>
      </w:r>
      <w:r>
        <w:t>;</w:t>
      </w:r>
    </w:p>
    <w:p w:rsidR="000E3987" w:rsidRPr="000E3987" w:rsidRDefault="000E3987" w:rsidP="000E3987">
      <w:pPr>
        <w:pStyle w:val="PKTpunkt"/>
      </w:pPr>
      <w:r>
        <w:t>3)</w:t>
      </w:r>
      <w:r>
        <w:tab/>
      </w:r>
      <w:r w:rsidR="00672E72">
        <w:t xml:space="preserve">w dziale II </w:t>
      </w:r>
      <w:r w:rsidRPr="000E3987">
        <w:t>w rozdziale 3b po art. 95x dodaje się art. 95y w brzmieniu:</w:t>
      </w:r>
    </w:p>
    <w:p w:rsidR="000E3987" w:rsidRPr="000328E5" w:rsidRDefault="000E3987" w:rsidP="000E3987">
      <w:pPr>
        <w:pStyle w:val="ZARTzmartartykuempunktem"/>
      </w:pPr>
      <w:r>
        <w:t xml:space="preserve">„Art. 95y. </w:t>
      </w:r>
      <w:r w:rsidRPr="000328E5">
        <w:t>§</w:t>
      </w:r>
      <w:r>
        <w:t xml:space="preserve"> </w:t>
      </w:r>
      <w:r w:rsidRPr="000328E5">
        <w:t>1.</w:t>
      </w:r>
      <w:r>
        <w:t xml:space="preserve"> </w:t>
      </w:r>
      <w:r w:rsidRPr="000328E5">
        <w:t>Notariusz niezwłocznie po sporządzeniu europejskiego poświadczenia spadkowego dokonuje jego wpisu do Rejestru Spadkowego przez wprowadzenie za pośrednictwem systemu teleinformatycznego danych wynikających z</w:t>
      </w:r>
      <w:r>
        <w:t> </w:t>
      </w:r>
      <w:r w:rsidRPr="000328E5">
        <w:t>tego poświadczenia, o których mowa w art. 95ha pkt 3</w:t>
      </w:r>
      <w:r w:rsidRPr="000D74D4">
        <w:t>–</w:t>
      </w:r>
      <w:r w:rsidRPr="000328E5">
        <w:t>7. Notariusz opatruje wpis</w:t>
      </w:r>
      <w:r w:rsidR="00672E72">
        <w:t xml:space="preserve"> bezpiecznym podpisem elektronicznym weryfikowanym przy pomocy ważnego</w:t>
      </w:r>
      <w:r w:rsidRPr="000328E5">
        <w:t xml:space="preserve"> </w:t>
      </w:r>
      <w:r w:rsidRPr="00AC67F2">
        <w:t>kwalifikowan</w:t>
      </w:r>
      <w:r w:rsidR="00672E72">
        <w:t>ego</w:t>
      </w:r>
      <w:r w:rsidRPr="00AC67F2">
        <w:t xml:space="preserve"> </w:t>
      </w:r>
      <w:r w:rsidR="00672E72">
        <w:t>certyfikatu</w:t>
      </w:r>
      <w:r w:rsidRPr="000328E5">
        <w:t>.</w:t>
      </w:r>
    </w:p>
    <w:p w:rsidR="000E3987" w:rsidRPr="008A23A3" w:rsidRDefault="000E3987" w:rsidP="000E3987">
      <w:pPr>
        <w:pStyle w:val="ZUSTzmustartykuempunktem"/>
      </w:pPr>
      <w:r w:rsidRPr="008A23A3">
        <w:t xml:space="preserve">§ 2. Z chwilą dokonania wpisu w Rejestrze Spadkowym notariusz otrzymuje za pośrednictwem systemu teleinformatycznego zawiadomienie o zarejestrowaniu oraz możliwości uzyskania potwierdzenia zarejestrowania </w:t>
      </w:r>
      <w:r>
        <w:t>europejskiego</w:t>
      </w:r>
      <w:r w:rsidRPr="008A23A3">
        <w:t xml:space="preserve"> poświadczenia </w:t>
      </w:r>
      <w:r>
        <w:t>spadkowego</w:t>
      </w:r>
      <w:r w:rsidRPr="008A23A3">
        <w:t xml:space="preserve"> ze wskazaniem numeru wpisu. W taki sam sposób </w:t>
      </w:r>
      <w:r w:rsidRPr="008A23A3">
        <w:lastRenderedPageBreak/>
        <w:t>notariusz uzyskuje zawiadomienie o niezarejestrowaniu</w:t>
      </w:r>
      <w:r>
        <w:t xml:space="preserve"> europejskiego poświadczenia spadkowego</w:t>
      </w:r>
      <w:r w:rsidRPr="008A23A3">
        <w:t>.</w:t>
      </w:r>
    </w:p>
    <w:p w:rsidR="000E3987" w:rsidRDefault="000E3987" w:rsidP="000E3987">
      <w:pPr>
        <w:pStyle w:val="ZUSTzmustartykuempunktem"/>
      </w:pPr>
      <w:r w:rsidRPr="008A23A3">
        <w:t xml:space="preserve">§ 3. Adnotację o zarejestrowaniu umieszcza się na </w:t>
      </w:r>
      <w:r>
        <w:t>europejskim</w:t>
      </w:r>
      <w:r w:rsidRPr="008A23A3">
        <w:t xml:space="preserve"> poświadczeni</w:t>
      </w:r>
      <w:r>
        <w:t>u</w:t>
      </w:r>
      <w:r w:rsidRPr="008A23A3">
        <w:t xml:space="preserve"> </w:t>
      </w:r>
      <w:r>
        <w:t>spadkowym</w:t>
      </w:r>
      <w:r w:rsidRPr="008A23A3">
        <w:t>, wskazując numer wpisu, a także dzień, miesiąc i rok oraz godzinę i minutę dokonanego wpisu.</w:t>
      </w:r>
    </w:p>
    <w:p w:rsidR="000E3987" w:rsidRPr="00776C7A" w:rsidRDefault="000E3987" w:rsidP="000E3987">
      <w:pPr>
        <w:pStyle w:val="ZUSTzmustartykuempunktem"/>
      </w:pPr>
      <w:r w:rsidRPr="00D541B7">
        <w:t xml:space="preserve">§ </w:t>
      </w:r>
      <w:r>
        <w:t xml:space="preserve">4. Przepisy </w:t>
      </w:r>
      <w:r w:rsidRPr="00D541B7">
        <w:t xml:space="preserve">§ </w:t>
      </w:r>
      <w:r>
        <w:t>1</w:t>
      </w:r>
      <w:r w:rsidRPr="00902659">
        <w:t>–</w:t>
      </w:r>
      <w:r>
        <w:t xml:space="preserve">3 stosuje się odpowiednio do sprostowania, </w:t>
      </w:r>
      <w:r w:rsidRPr="00E74723">
        <w:t>zmian</w:t>
      </w:r>
      <w:r>
        <w:t>y lub uchylenia</w:t>
      </w:r>
      <w:r w:rsidRPr="00E74723">
        <w:t xml:space="preserve"> europejskiego poświadczenia spadkowego</w:t>
      </w:r>
      <w:r>
        <w:t xml:space="preserve"> albo zawieszenia jego skutków.</w:t>
      </w:r>
      <w:r w:rsidRPr="00776C7A">
        <w:t>”.</w:t>
      </w:r>
    </w:p>
    <w:p w:rsidR="000E3987" w:rsidRPr="000E3987" w:rsidRDefault="000E3987" w:rsidP="000E3987">
      <w:pPr>
        <w:pStyle w:val="ARTartustawynprozporzdzenia"/>
      </w:pPr>
      <w:r w:rsidRPr="004153C2">
        <w:rPr>
          <w:rStyle w:val="Ppogrubienie"/>
        </w:rPr>
        <w:t>Art.</w:t>
      </w:r>
      <w:r w:rsidRPr="000E3987">
        <w:rPr>
          <w:rStyle w:val="Ppogrubienie"/>
        </w:rPr>
        <w:t> 3.</w:t>
      </w:r>
      <w:r w:rsidRPr="000E3987">
        <w:t> W ustawie z dnia 10 lipca 2015 r. o zmianie ustawy − Kodeks cywilny, ustawy − Kodeks postępowania cywilnego oraz niektórych innych ustaw (Dz. U. poz. 1311 i 1513 oraz z 2016 r. poz. 178</w:t>
      </w:r>
      <w:r w:rsidR="0054722C">
        <w:t>, 394 i 615</w:t>
      </w:r>
      <w:r w:rsidRPr="000E3987">
        <w:t>) wprowadza się następujące zmiany:</w:t>
      </w:r>
    </w:p>
    <w:p w:rsidR="0053619D" w:rsidRDefault="003F4BA8" w:rsidP="0053619D">
      <w:pPr>
        <w:pStyle w:val="PKTpunkt"/>
      </w:pPr>
      <w:r>
        <w:t>1</w:t>
      </w:r>
      <w:r w:rsidR="00BD73FF" w:rsidRPr="00BD73FF">
        <w:rPr>
          <w:lang w:eastAsia="en-US"/>
        </w:rPr>
        <w:t>)</w:t>
      </w:r>
      <w:r w:rsidR="00CF2218">
        <w:tab/>
      </w:r>
      <w:r w:rsidR="0053619D" w:rsidRPr="00195695">
        <w:t>w art. 2</w:t>
      </w:r>
      <w:r w:rsidR="0053619D">
        <w:t>:</w:t>
      </w:r>
    </w:p>
    <w:p w:rsidR="0053619D" w:rsidRPr="0053619D" w:rsidRDefault="0053619D" w:rsidP="0053619D">
      <w:pPr>
        <w:pStyle w:val="LITlitera"/>
      </w:pPr>
      <w:r>
        <w:t>a)</w:t>
      </w:r>
      <w:r>
        <w:tab/>
      </w:r>
      <w:r w:rsidRPr="0053619D">
        <w:t>pkt 53 otrzymuje brzmienie:</w:t>
      </w:r>
    </w:p>
    <w:p w:rsidR="0053619D" w:rsidRPr="00195695" w:rsidRDefault="0053619D" w:rsidP="0053619D">
      <w:pPr>
        <w:pStyle w:val="ZLITPKTzmpktliter"/>
      </w:pPr>
      <w:r>
        <w:t>„</w:t>
      </w:r>
      <w:r w:rsidRPr="00195695">
        <w:t>53) po art. 505</w:t>
      </w:r>
      <w:r w:rsidRPr="0053619D">
        <w:rPr>
          <w:rStyle w:val="IGindeksgrny"/>
        </w:rPr>
        <w:t>37</w:t>
      </w:r>
      <w:r w:rsidRPr="00195695">
        <w:t xml:space="preserve"> dodaje się art. 505</w:t>
      </w:r>
      <w:r w:rsidRPr="0053619D">
        <w:rPr>
          <w:rStyle w:val="IGindeksgrny"/>
        </w:rPr>
        <w:t>38</w:t>
      </w:r>
      <w:r w:rsidRPr="00195695">
        <w:t xml:space="preserve"> i art. 505</w:t>
      </w:r>
      <w:r w:rsidRPr="0053619D">
        <w:rPr>
          <w:rStyle w:val="IGindeksgrny"/>
        </w:rPr>
        <w:t>39</w:t>
      </w:r>
      <w:r w:rsidRPr="0053619D">
        <w:t xml:space="preserve"> </w:t>
      </w:r>
      <w:r w:rsidRPr="00195695">
        <w:t>w brzmieniu:</w:t>
      </w:r>
    </w:p>
    <w:p w:rsidR="0053619D" w:rsidRPr="0053619D" w:rsidRDefault="0053619D" w:rsidP="0053619D">
      <w:pPr>
        <w:pStyle w:val="ZLITARTzmartliter"/>
      </w:pPr>
      <w:r w:rsidRPr="00195695">
        <w:t>„Art. 505</w:t>
      </w:r>
      <w:r w:rsidRPr="0053619D">
        <w:rPr>
          <w:rStyle w:val="IGindeksgrny"/>
        </w:rPr>
        <w:t>38</w:t>
      </w:r>
      <w:r w:rsidRPr="0053619D">
        <w:t>.  Rozpoznanie zażalenia na postanowienie wydane w elektronicznym postępowaniu upominawczym następuje w składzie jednego sędziego. W postępowaniu toczącym się na skutek zażalenia przepisy art. 505</w:t>
      </w:r>
      <w:r w:rsidRPr="0053619D">
        <w:rPr>
          <w:rStyle w:val="IGindeksgrny"/>
        </w:rPr>
        <w:t>30</w:t>
      </w:r>
      <w:r w:rsidRPr="0053619D">
        <w:t xml:space="preserve"> § 2 i art. 505</w:t>
      </w:r>
      <w:r w:rsidRPr="0053619D">
        <w:rPr>
          <w:rStyle w:val="IGindeksgrny"/>
        </w:rPr>
        <w:t>31</w:t>
      </w:r>
      <w:r w:rsidRPr="0053619D">
        <w:t xml:space="preserve"> stosuje się odpowiednio.</w:t>
      </w:r>
    </w:p>
    <w:p w:rsidR="0053619D" w:rsidRPr="0053619D" w:rsidRDefault="0053619D" w:rsidP="0053619D">
      <w:pPr>
        <w:pStyle w:val="ZLITARTzmartliter"/>
      </w:pPr>
      <w:r w:rsidRPr="0053619D">
        <w:t>Art. 505</w:t>
      </w:r>
      <w:r w:rsidRPr="0053619D">
        <w:rPr>
          <w:rStyle w:val="IGindeksgrny"/>
        </w:rPr>
        <w:t>39</w:t>
      </w:r>
      <w:r w:rsidRPr="0053619D">
        <w:t>. W razie wniesienia skargi o wznowienie postępowania sąd przekazuje sprawę do sądu według właściwości ogólnej. Do wznowienia postępowania właściwy jest s</w:t>
      </w:r>
      <w:r w:rsidR="008D6F1C">
        <w:t>ąd według właściwości ogólnej.”;”,</w:t>
      </w:r>
    </w:p>
    <w:p w:rsidR="0053619D" w:rsidRPr="0053619D" w:rsidRDefault="0053619D" w:rsidP="0053619D">
      <w:pPr>
        <w:pStyle w:val="LITlitera"/>
      </w:pPr>
      <w:r>
        <w:rPr>
          <w:rFonts w:cs="Times New Roman"/>
        </w:rPr>
        <w:t>b)</w:t>
      </w:r>
      <w:r>
        <w:rPr>
          <w:rFonts w:cs="Times New Roman"/>
        </w:rPr>
        <w:tab/>
      </w:r>
      <w:r w:rsidRPr="0053619D">
        <w:t>pkt 60 otrzymuje brzmienie:</w:t>
      </w:r>
    </w:p>
    <w:p w:rsidR="0053619D" w:rsidRPr="00760394" w:rsidRDefault="0053619D" w:rsidP="0053619D">
      <w:pPr>
        <w:pStyle w:val="ZLITPKTzmpktliter"/>
      </w:pPr>
      <w:r w:rsidRPr="00760394">
        <w:t>„60)</w:t>
      </w:r>
      <w:r w:rsidRPr="0053619D">
        <w:tab/>
      </w:r>
      <w:r w:rsidRPr="00760394">
        <w:t>po art. 679 dodaje się art. 679</w:t>
      </w:r>
      <w:r w:rsidRPr="0053619D">
        <w:rPr>
          <w:rStyle w:val="IGindeksgrny"/>
        </w:rPr>
        <w:t>1</w:t>
      </w:r>
      <w:r w:rsidRPr="00760394">
        <w:t xml:space="preserve"> i art. 679</w:t>
      </w:r>
      <w:r w:rsidRPr="0053619D">
        <w:rPr>
          <w:rStyle w:val="IGindeksgrny"/>
        </w:rPr>
        <w:t>2</w:t>
      </w:r>
      <w:r w:rsidRPr="00760394">
        <w:t xml:space="preserve"> w brzmieniu:</w:t>
      </w:r>
    </w:p>
    <w:p w:rsidR="0053619D" w:rsidRPr="0053619D" w:rsidRDefault="0053619D" w:rsidP="0053619D">
      <w:pPr>
        <w:pStyle w:val="ZLITARTzmartliter"/>
      </w:pPr>
      <w:r w:rsidRPr="0053619D">
        <w:t>„Art. 679</w:t>
      </w:r>
      <w:r w:rsidRPr="0053619D">
        <w:rPr>
          <w:rStyle w:val="IGindeksgrny"/>
        </w:rPr>
        <w:t>1</w:t>
      </w:r>
      <w:r w:rsidRPr="0053619D">
        <w:t>. Prawomocne postanowienie o stwierdzeniu nabycia spadku, prawomocne postanowienie uchylające lub zmieniające postanowienie o stwierdzeniu nabycia spadku sąd niezwłocznie wpisuje, za pośrednictwem systemu teleinformatycznego, o którym mowa w art. 95i § 1 ustawy z dnia 14 lutego 1991 r. – Prawo o notariacie (Dz. U. z 2014 r. poz. 164</w:t>
      </w:r>
      <w:r w:rsidR="008D6F1C">
        <w:t>,</w:t>
      </w:r>
      <w:r w:rsidRPr="0053619D">
        <w:t xml:space="preserve"> z </w:t>
      </w:r>
      <w:proofErr w:type="spellStart"/>
      <w:r w:rsidRPr="0053619D">
        <w:t>późn</w:t>
      </w:r>
      <w:proofErr w:type="spellEnd"/>
      <w:r w:rsidRPr="0053619D">
        <w:t>. zm.</w:t>
      </w:r>
      <w:r w:rsidRPr="0053619D">
        <w:rPr>
          <w:rStyle w:val="IGindeksgrny"/>
        </w:rPr>
        <w:footnoteReference w:id="4"/>
      </w:r>
      <w:r w:rsidRPr="0053619D">
        <w:rPr>
          <w:rStyle w:val="IGindeksgrny"/>
        </w:rPr>
        <w:t>)</w:t>
      </w:r>
      <w:r w:rsidRPr="0053619D">
        <w:t>), do Rejestru Spadkowego.</w:t>
      </w:r>
    </w:p>
    <w:p w:rsidR="00BD73FF" w:rsidRDefault="0053619D" w:rsidP="0053619D">
      <w:pPr>
        <w:pStyle w:val="ZLITARTzmartliter"/>
        <w:rPr>
          <w:lang w:eastAsia="en-US"/>
        </w:rPr>
      </w:pPr>
      <w:r w:rsidRPr="00760394">
        <w:t>Art. 679</w:t>
      </w:r>
      <w:r w:rsidRPr="0053619D">
        <w:rPr>
          <w:rStyle w:val="IGindeksgrny"/>
        </w:rPr>
        <w:t>2</w:t>
      </w:r>
      <w:r w:rsidRPr="00760394">
        <w:t>. Sąd niezwłocznie zawiadamia Krajową Radę Notarialną o wydaniu prawomocnego postanowienia uchylającego zarejestrowany akt poświadczenia dziedziczenia. Do zawiadomienia dołącza się odpis postanowienia.”;</w:t>
      </w:r>
      <w:r>
        <w:t>”;</w:t>
      </w:r>
    </w:p>
    <w:p w:rsidR="000E3987" w:rsidRPr="000E3987" w:rsidRDefault="003F4BA8" w:rsidP="000E3987">
      <w:pPr>
        <w:pStyle w:val="PKTpunkt"/>
      </w:pPr>
      <w:r>
        <w:t>2</w:t>
      </w:r>
      <w:r w:rsidR="000E3987">
        <w:t>)</w:t>
      </w:r>
      <w:r w:rsidR="000E3987">
        <w:tab/>
      </w:r>
      <w:r w:rsidR="000E3987" w:rsidRPr="000E3987">
        <w:t>w art. 7:</w:t>
      </w:r>
    </w:p>
    <w:p w:rsidR="000E3987" w:rsidRPr="000E3987" w:rsidRDefault="000E3987" w:rsidP="000E3987">
      <w:pPr>
        <w:pStyle w:val="LITlitera"/>
      </w:pPr>
      <w:r>
        <w:t>a)</w:t>
      </w:r>
      <w:r>
        <w:tab/>
      </w:r>
      <w:r w:rsidRPr="000E3987">
        <w:t>pkt 1 otrzymuje brzmienie:</w:t>
      </w:r>
    </w:p>
    <w:p w:rsidR="000E3987" w:rsidRPr="000E3987" w:rsidRDefault="000E3987" w:rsidP="000E3987">
      <w:pPr>
        <w:pStyle w:val="ZLITPKTzmpktliter"/>
      </w:pPr>
      <w:r>
        <w:t>„1)</w:t>
      </w:r>
      <w:r>
        <w:tab/>
      </w:r>
      <w:r w:rsidRPr="000E3987">
        <w:t>w art. 95f w § 1 pkt 4 otrzymuje brzmienie:</w:t>
      </w:r>
    </w:p>
    <w:p w:rsidR="000E3987" w:rsidRPr="00141BEA" w:rsidRDefault="000E3987" w:rsidP="000E3987">
      <w:pPr>
        <w:pStyle w:val="ZZPKTzmianazmpkt"/>
      </w:pPr>
      <w:r>
        <w:t>„4)</w:t>
      </w:r>
      <w:r>
        <w:tab/>
      </w:r>
      <w:r w:rsidRPr="00141BEA">
        <w:t>datę i miejsce zgonu albo znalezienia</w:t>
      </w:r>
      <w:r>
        <w:t xml:space="preserve"> </w:t>
      </w:r>
      <w:r w:rsidRPr="00141BEA">
        <w:t xml:space="preserve">zwłok </w:t>
      </w:r>
      <w:r w:rsidR="00AF2CA2" w:rsidRPr="00141BEA">
        <w:t xml:space="preserve">spadkodawcy </w:t>
      </w:r>
      <w:r w:rsidRPr="00141BEA">
        <w:t xml:space="preserve">oraz </w:t>
      </w:r>
      <w:r w:rsidR="00AF2CA2">
        <w:t xml:space="preserve">jego </w:t>
      </w:r>
      <w:r w:rsidRPr="00141BEA">
        <w:t>miejsce zwykłego pobytu w chwili śmierci;</w:t>
      </w:r>
      <w:r w:rsidR="003F4BA8">
        <w:t>”</w:t>
      </w:r>
      <w:r w:rsidR="0023561E">
        <w:t>;”</w:t>
      </w:r>
      <w:r>
        <w:t>,</w:t>
      </w:r>
    </w:p>
    <w:p w:rsidR="000E3987" w:rsidRPr="000E3987" w:rsidRDefault="000E3987" w:rsidP="000E3987">
      <w:pPr>
        <w:pStyle w:val="LITlitera"/>
      </w:pPr>
      <w:r>
        <w:t>b)</w:t>
      </w:r>
      <w:r>
        <w:tab/>
      </w:r>
      <w:r w:rsidRPr="000E3987">
        <w:t xml:space="preserve">pkt 3 </w:t>
      </w:r>
      <w:r w:rsidR="00AF2CA2">
        <w:t xml:space="preserve">i 4 </w:t>
      </w:r>
      <w:r w:rsidRPr="000E3987">
        <w:t>otrzymuj</w:t>
      </w:r>
      <w:r w:rsidR="00AF2CA2">
        <w:t>ą</w:t>
      </w:r>
      <w:r w:rsidRPr="000E3987">
        <w:t xml:space="preserve"> brzmienie:</w:t>
      </w:r>
    </w:p>
    <w:p w:rsidR="000E3987" w:rsidRPr="000E3987" w:rsidRDefault="000E3987" w:rsidP="000E3987">
      <w:pPr>
        <w:pStyle w:val="ZLITPKTzmpktliter"/>
      </w:pPr>
      <w:r>
        <w:t>„3)</w:t>
      </w:r>
      <w:r>
        <w:tab/>
      </w:r>
      <w:r w:rsidRPr="000E3987">
        <w:t>po art. 95h dodaje się art. 95ha w brzmieniu:</w:t>
      </w:r>
    </w:p>
    <w:p w:rsidR="000E3987" w:rsidRPr="000E3987" w:rsidRDefault="000E3987" w:rsidP="000E3987">
      <w:pPr>
        <w:pStyle w:val="ZZARTzmianazmart"/>
      </w:pPr>
      <w:r>
        <w:t xml:space="preserve">„Art. 95ha. Rejestr Spadkowy zawiera: </w:t>
      </w:r>
    </w:p>
    <w:p w:rsidR="000E3987" w:rsidRDefault="000E3987" w:rsidP="000E3987">
      <w:pPr>
        <w:pStyle w:val="ZZPKTzmianazmpkt"/>
      </w:pPr>
      <w:r>
        <w:t>1)</w:t>
      </w:r>
      <w:r>
        <w:tab/>
        <w:t>numer wpisu;</w:t>
      </w:r>
    </w:p>
    <w:p w:rsidR="000E3987" w:rsidRDefault="000E3987" w:rsidP="000E3987">
      <w:pPr>
        <w:pStyle w:val="ZZPKTzmianazmpkt"/>
      </w:pPr>
      <w:r>
        <w:t>2)</w:t>
      </w:r>
      <w:r>
        <w:tab/>
        <w:t>datę oraz godzinę i minutę dokonania wpisu;</w:t>
      </w:r>
    </w:p>
    <w:p w:rsidR="000E3987" w:rsidRPr="00B82BA4" w:rsidRDefault="000E3987" w:rsidP="000E3987">
      <w:pPr>
        <w:pStyle w:val="ZZPKTzmianazmpkt"/>
      </w:pPr>
      <w:r>
        <w:t>3)</w:t>
      </w:r>
      <w:r>
        <w:tab/>
      </w:r>
      <w:r w:rsidRPr="00B82BA4">
        <w:t>datę oraz miejsce sporządzenia aktu poświadczenia dziedziczenia albo datę wydania postanowienia o stwierdzeniu nabycia spadku, postanowienia uchylającego lub zmieniającego postanowienie o</w:t>
      </w:r>
      <w:r>
        <w:t> </w:t>
      </w:r>
      <w:r w:rsidRPr="00B82BA4">
        <w:t>stwierdzeniu nabycia spadku albo postanowienia uchylającego zarejestrowany akt poświadczenia dziedziczenia</w:t>
      </w:r>
      <w:r w:rsidRPr="00544CE7">
        <w:t xml:space="preserve"> </w:t>
      </w:r>
      <w:r>
        <w:t>oraz sygnaturę akt sprawy,</w:t>
      </w:r>
      <w:r w:rsidRPr="00B82BA4">
        <w:t xml:space="preserve"> </w:t>
      </w:r>
      <w:r>
        <w:t xml:space="preserve">albo datę </w:t>
      </w:r>
      <w:r w:rsidR="002C5AFF">
        <w:t xml:space="preserve">oraz </w:t>
      </w:r>
      <w:r>
        <w:t xml:space="preserve">miejsce wydania europejskiego poświadczenia spadkowego, jego sprostowania, zmiany, uchylenia lub zawieszenia jego skutków, albo datę wydania postanowienia o </w:t>
      </w:r>
      <w:r w:rsidRPr="00955ECE">
        <w:t>wydani</w:t>
      </w:r>
      <w:r>
        <w:t>u, sprostowaniu, zmianie lub uchyleniu</w:t>
      </w:r>
      <w:r w:rsidRPr="00955ECE">
        <w:t xml:space="preserve"> europejskiego poświadczenia spadkowego</w:t>
      </w:r>
      <w:r>
        <w:t>, albo o zawieszeniu jego skutków lub postanowienia o zmianie albo uchyleniu tych postanowień oraz sygnaturę akt sprawy</w:t>
      </w:r>
      <w:r w:rsidRPr="00B82BA4">
        <w:t>;</w:t>
      </w:r>
    </w:p>
    <w:p w:rsidR="000E3987" w:rsidRDefault="000E3987" w:rsidP="000E3987">
      <w:pPr>
        <w:pStyle w:val="ZZPKTzmianazmpkt"/>
      </w:pPr>
      <w:r w:rsidRPr="00B82BA4">
        <w:t>4)</w:t>
      </w:r>
      <w:r>
        <w:tab/>
      </w:r>
      <w:r w:rsidRPr="00B82BA4">
        <w:t xml:space="preserve">imię i nazwisko notariusza oraz siedzibę jego kancelarii, a jeżeli akt poświadczenia dziedziczenia </w:t>
      </w:r>
      <w:r>
        <w:t xml:space="preserve">lub europejskie poświadczenie spadkowe </w:t>
      </w:r>
      <w:r w:rsidRPr="00B82BA4">
        <w:t>sporządziła osoba zastępująca notariusza – również imię i</w:t>
      </w:r>
      <w:r>
        <w:t> </w:t>
      </w:r>
      <w:r w:rsidRPr="00B82BA4">
        <w:t>nazwisko tej osoby, a w przypadku postanowienia sądu</w:t>
      </w:r>
      <w:r>
        <w:t xml:space="preserve"> </w:t>
      </w:r>
      <w:r w:rsidRPr="00B82BA4">
        <w:t>– oznaczenie sądu;</w:t>
      </w:r>
    </w:p>
    <w:p w:rsidR="000E3987" w:rsidRDefault="000E3987" w:rsidP="000E3987">
      <w:pPr>
        <w:pStyle w:val="ZZPKTzmianazmpkt"/>
      </w:pPr>
      <w:r>
        <w:t>5)</w:t>
      </w:r>
      <w:r>
        <w:tab/>
        <w:t>imię i nazwisko spadkodawcy, imiona jego rodziców oraz numer Powszechnego Elektronicznego Systemu Ewidencji Ludności (PESEL), o ile jest znany;</w:t>
      </w:r>
    </w:p>
    <w:p w:rsidR="000E3987" w:rsidRDefault="000E3987" w:rsidP="000E3987">
      <w:pPr>
        <w:pStyle w:val="ZZPKTzmianazmpkt"/>
      </w:pPr>
      <w:r>
        <w:t>6)</w:t>
      </w:r>
      <w:r>
        <w:tab/>
        <w:t>imię i nazwisko spadkodawcy, imiona jego rodziców oraz datę i miejsce jego urodzenia – jeżeli numer PESEL spadkodawcy nie jest znany lub spadkodawca go nie posiadał;</w:t>
      </w:r>
    </w:p>
    <w:p w:rsidR="000E3987" w:rsidRDefault="000E3987" w:rsidP="000E3987">
      <w:pPr>
        <w:pStyle w:val="ZZPKTzmianazmpkt"/>
      </w:pPr>
      <w:r>
        <w:t>7)</w:t>
      </w:r>
      <w:r>
        <w:tab/>
        <w:t xml:space="preserve">datę i miejsce zgonu albo znalezienia zwłok </w:t>
      </w:r>
      <w:r w:rsidR="002C5AFF">
        <w:t xml:space="preserve">spadkodawcy </w:t>
      </w:r>
      <w:r>
        <w:t xml:space="preserve">oraz </w:t>
      </w:r>
      <w:r w:rsidR="002C5AFF">
        <w:t xml:space="preserve">jego </w:t>
      </w:r>
      <w:r>
        <w:t>miejsce zwykłego pobytu w chwili śmierci.</w:t>
      </w:r>
      <w:r w:rsidRPr="00776E97">
        <w:t>”</w:t>
      </w:r>
      <w:r w:rsidR="00D85390">
        <w:t>;</w:t>
      </w:r>
      <w:r w:rsidRPr="00C33360">
        <w:t xml:space="preserve"> </w:t>
      </w:r>
    </w:p>
    <w:p w:rsidR="000E3987" w:rsidRPr="000E3987" w:rsidRDefault="000E3987" w:rsidP="000E3987">
      <w:pPr>
        <w:pStyle w:val="ZLITPKTzmpktliter"/>
      </w:pPr>
      <w:r>
        <w:t>4)</w:t>
      </w:r>
      <w:r>
        <w:tab/>
      </w:r>
      <w:r w:rsidRPr="000E3987">
        <w:t>art. 95i otrzymuje brzmienie:</w:t>
      </w:r>
    </w:p>
    <w:p w:rsidR="000E3987" w:rsidRDefault="000E3987" w:rsidP="000E3987">
      <w:pPr>
        <w:pStyle w:val="ZZARTzmianazmart"/>
      </w:pPr>
      <w:r>
        <w:t xml:space="preserve">„Art. 95i. </w:t>
      </w:r>
      <w:r w:rsidRPr="000E3987">
        <w:t>§</w:t>
      </w:r>
      <w:r>
        <w:t xml:space="preserve"> 1. Krajowa Rada Notarialna tworzy system teleinformatyczny w celu prowadzenia Rejestru Spadkowego, zapewnia notariuszom i sądom dostęp do tego systemu w celu dokonywania wpisów oraz ochronę danych zgromadzonych w Rejestrze Spadkowym przed nieuprawnionym dostępem, przetwarzaniem oraz zmianą lub utratą.</w:t>
      </w:r>
      <w:r w:rsidRPr="00BC0DB0">
        <w:t xml:space="preserve"> </w:t>
      </w:r>
      <w:r w:rsidR="00672E72">
        <w:t xml:space="preserve">Podpis elektroniczny </w:t>
      </w:r>
      <w:r w:rsidRPr="00BC0DB0">
        <w:t>weryfikowan</w:t>
      </w:r>
      <w:r w:rsidR="00672E72">
        <w:t>y</w:t>
      </w:r>
      <w:r w:rsidRPr="00BC0DB0">
        <w:t xml:space="preserve"> </w:t>
      </w:r>
      <w:r w:rsidR="00672E72">
        <w:t>przy</w:t>
      </w:r>
      <w:r w:rsidRPr="00BC0DB0">
        <w:t xml:space="preserve"> pomoc</w:t>
      </w:r>
      <w:r w:rsidR="00672E72">
        <w:t>y ważnego</w:t>
      </w:r>
      <w:r w:rsidRPr="00BC0DB0">
        <w:t xml:space="preserve"> kwalifikowanego certyfikatu </w:t>
      </w:r>
      <w:r w:rsidR="00672E72">
        <w:t>zapewnia</w:t>
      </w:r>
      <w:r w:rsidRPr="00BC0DB0">
        <w:t xml:space="preserve"> notariuszowi oraz prezesowi sądu lub osobie przez niego wyznaczonej dostęp do Rejestru Spadkowego.</w:t>
      </w:r>
    </w:p>
    <w:p w:rsidR="000E3987" w:rsidRDefault="000E3987" w:rsidP="000E3987">
      <w:pPr>
        <w:pStyle w:val="ZZUSTzmianazmust"/>
      </w:pPr>
      <w:r w:rsidRPr="00B82BA4">
        <w:t>§</w:t>
      </w:r>
      <w:r>
        <w:t xml:space="preserve"> </w:t>
      </w:r>
      <w:r w:rsidRPr="00B82BA4">
        <w:t>2.</w:t>
      </w:r>
      <w:r>
        <w:t xml:space="preserve"> </w:t>
      </w:r>
      <w:r w:rsidRPr="00B82BA4">
        <w:t>Krajowa Rada Notarialna udostępnia w systemie teleinformatycznym informacje o zarejestrowanych aktach poświadczenia dziedziczenia</w:t>
      </w:r>
      <w:r>
        <w:t>,</w:t>
      </w:r>
      <w:r w:rsidRPr="00B82BA4">
        <w:t xml:space="preserve"> postanowieniach o stwierdzeniu nabycia spadku </w:t>
      </w:r>
      <w:r>
        <w:t xml:space="preserve">oraz europejskich poświadczeniach spadkowych </w:t>
      </w:r>
      <w:r w:rsidRPr="00B82BA4">
        <w:t>obejmujące dane, o których mowa w art. 95ha.</w:t>
      </w:r>
    </w:p>
    <w:p w:rsidR="000E3987" w:rsidRDefault="000E3987" w:rsidP="000E3987">
      <w:pPr>
        <w:pStyle w:val="ZZUSTzmianazmust"/>
      </w:pPr>
      <w:r w:rsidRPr="00910E55">
        <w:t xml:space="preserve">§ </w:t>
      </w:r>
      <w:r>
        <w:t>3</w:t>
      </w:r>
      <w:r w:rsidRPr="00910E55">
        <w:t>. Za wpisy dokonywane w Rejestrze Spadkowym notariusz oraz sąd pobierają opłatę, którą przekazują Krajowej Radzie Notarialnej.</w:t>
      </w:r>
      <w:r>
        <w:t xml:space="preserve"> </w:t>
      </w:r>
    </w:p>
    <w:p w:rsidR="000E3987" w:rsidRDefault="000E3987" w:rsidP="000E3987">
      <w:pPr>
        <w:pStyle w:val="ZZUSTzmianazmust"/>
      </w:pPr>
      <w:r w:rsidRPr="00910E55">
        <w:t xml:space="preserve">§ </w:t>
      </w:r>
      <w:r>
        <w:t>4</w:t>
      </w:r>
      <w:r w:rsidRPr="00910E55">
        <w:t>. W przypadku wpisów dokonywanych przez notariusza opłatę, o</w:t>
      </w:r>
      <w:r>
        <w:t> </w:t>
      </w:r>
      <w:r w:rsidRPr="00910E55">
        <w:t xml:space="preserve">której mowa w § </w:t>
      </w:r>
      <w:r>
        <w:t>3</w:t>
      </w:r>
      <w:r w:rsidRPr="00910E55">
        <w:t xml:space="preserve">, notariusz pobiera od stron czynności notarialnej podlegającej wpisowi do Rejestru Spadkowego. Notariusz uzależnia dokonanie czynności od uprzedniego uiszczenia należnej opłaty. </w:t>
      </w:r>
    </w:p>
    <w:p w:rsidR="000E3987" w:rsidRPr="00910E55" w:rsidRDefault="000E3987" w:rsidP="000E3987">
      <w:pPr>
        <w:pStyle w:val="ZZUSTzmianazmust"/>
      </w:pPr>
      <w:r w:rsidRPr="00910E55">
        <w:t xml:space="preserve">§ </w:t>
      </w:r>
      <w:r>
        <w:t>5</w:t>
      </w:r>
      <w:r w:rsidRPr="00910E55">
        <w:t xml:space="preserve">. W przypadku wpisów dokonywanych przez sąd opłatę, o której mowa </w:t>
      </w:r>
      <w:r>
        <w:t xml:space="preserve">w </w:t>
      </w:r>
      <w:r w:rsidRPr="00910E55">
        <w:t xml:space="preserve">§ </w:t>
      </w:r>
      <w:r>
        <w:t>3</w:t>
      </w:r>
      <w:r w:rsidRPr="00910E55">
        <w:t xml:space="preserve">, uiszcza wnioskodawca wraz z wniesieniem pisma wszczynającego postępowanie o wydanie orzeczenia podlegającego wpisowi do Rejestru Spadkowego. Do </w:t>
      </w:r>
      <w:r w:rsidR="0006790B">
        <w:t xml:space="preserve">pisma wraz z którym nie wniesiono </w:t>
      </w:r>
      <w:r w:rsidRPr="00910E55">
        <w:t xml:space="preserve">opłaty </w:t>
      </w:r>
      <w:r w:rsidR="0006790B">
        <w:t>stosuje się odpowiednio przepis</w:t>
      </w:r>
      <w:r w:rsidRPr="00910E55">
        <w:t xml:space="preserve"> art. 130 </w:t>
      </w:r>
      <w:r w:rsidR="0006790B">
        <w:t xml:space="preserve">ustawy z dnia 17 listopada 1964 r. – </w:t>
      </w:r>
      <w:r w:rsidRPr="00910E55">
        <w:t>Kodeks postępowania cywilnego</w:t>
      </w:r>
      <w:r w:rsidR="0006790B">
        <w:t xml:space="preserve"> (Dz. U. z 2014 r. poz. 101, z </w:t>
      </w:r>
      <w:proofErr w:type="spellStart"/>
      <w:r w:rsidR="0006790B">
        <w:t>późn</w:t>
      </w:r>
      <w:proofErr w:type="spellEnd"/>
      <w:r w:rsidR="0006790B">
        <w:t>. zm.</w:t>
      </w:r>
      <w:r w:rsidR="0006790B">
        <w:rPr>
          <w:rStyle w:val="Odwoanieprzypisudolnego"/>
        </w:rPr>
        <w:footnoteReference w:id="5"/>
      </w:r>
      <w:r w:rsidR="0006790B">
        <w:rPr>
          <w:rStyle w:val="IGindeksgrny"/>
        </w:rPr>
        <w:t>)</w:t>
      </w:r>
      <w:r w:rsidR="0006790B" w:rsidRPr="0006790B">
        <w:t>)</w:t>
      </w:r>
      <w:r w:rsidR="0006790B">
        <w:t>. Do opłaty stosuje się przepisy ustawy</w:t>
      </w:r>
      <w:r w:rsidRPr="00910E55">
        <w:t xml:space="preserve"> </w:t>
      </w:r>
      <w:r w:rsidR="0006790B">
        <w:t xml:space="preserve">z dnia </w:t>
      </w:r>
      <w:r w:rsidRPr="00910E55">
        <w:t>28 lipca 2005 r. o kosztach sądowych w sprawach cywilnych (Dz. U. z 201</w:t>
      </w:r>
      <w:r>
        <w:t>6</w:t>
      </w:r>
      <w:r w:rsidRPr="00910E55">
        <w:t xml:space="preserve"> r. poz. </w:t>
      </w:r>
      <w:r>
        <w:t>623</w:t>
      </w:r>
      <w:r w:rsidRPr="00910E55">
        <w:t>) dotyczące wydatków, z</w:t>
      </w:r>
      <w:r>
        <w:t> </w:t>
      </w:r>
      <w:r w:rsidRPr="00910E55">
        <w:t>wyłączeniem art. 83</w:t>
      </w:r>
      <w:r>
        <w:t xml:space="preserve"> tej ustawy</w:t>
      </w:r>
      <w:r w:rsidRPr="00910E55">
        <w:t xml:space="preserve">. </w:t>
      </w:r>
    </w:p>
    <w:p w:rsidR="000E3987" w:rsidRDefault="000E3987" w:rsidP="000E3987">
      <w:pPr>
        <w:pStyle w:val="ZZUSTzmianazmust"/>
      </w:pPr>
      <w:r w:rsidRPr="000E3987">
        <w:t>§</w:t>
      </w:r>
      <w:r>
        <w:t xml:space="preserve"> 6. Minister Sprawiedliwości, po zasięgnięciu opinii Krajowej Rady Notarialnej, określi, w drodze rozporządzenia, sposób uiszczania i wysokość opłat za wpisy dokonywane w Rejestrze Spadkowym przez notariusza albo sąd, mając na względzie wysokość kosztów administracyjnych prowadzenia Rejestru Spadkowego oraz jego niedochodowy charakter i niezbędny rozwój.</w:t>
      </w:r>
      <w:r w:rsidRPr="00553F3F">
        <w:t>”</w:t>
      </w:r>
      <w:r w:rsidR="0023561E">
        <w:t>;</w:t>
      </w:r>
      <w:r w:rsidRPr="00B82BA4">
        <w:t>”</w:t>
      </w:r>
      <w:r>
        <w:t>;</w:t>
      </w:r>
    </w:p>
    <w:p w:rsidR="0053619D" w:rsidRDefault="00C208E6" w:rsidP="0053619D">
      <w:pPr>
        <w:pStyle w:val="PKTpunkt"/>
      </w:pPr>
      <w:r>
        <w:t>3</w:t>
      </w:r>
      <w:r w:rsidR="0053619D">
        <w:t>)</w:t>
      </w:r>
      <w:r w:rsidR="0053619D">
        <w:tab/>
        <w:t>w art. 8 po pkt 4 dodaje się pkt 4a w brzmieniu:</w:t>
      </w:r>
    </w:p>
    <w:p w:rsidR="0053619D" w:rsidRDefault="0053619D" w:rsidP="0053619D">
      <w:pPr>
        <w:pStyle w:val="ZPKTzmpktartykuempunktem"/>
      </w:pPr>
      <w:r>
        <w:t xml:space="preserve">„4a) w art. 53a ust. 1 otrzymuje brzmienie: </w:t>
      </w:r>
    </w:p>
    <w:p w:rsidR="0053619D" w:rsidRDefault="0053619D" w:rsidP="0053619D">
      <w:pPr>
        <w:pStyle w:val="ZUSTzmustartykuempunktem"/>
      </w:pPr>
      <w:r>
        <w:t>„1. Opłatę stałą w wysokości 2% przeciętnego wynagrodzenia miesięcznego komornik pobiera od wierzyciela w przypadku otrzymania zlecenia poszukiwania majątku dłużnika w trybie art. 801</w:t>
      </w:r>
      <w:r w:rsidRPr="0053619D">
        <w:rPr>
          <w:rStyle w:val="IGindeksgrny"/>
        </w:rPr>
        <w:t>2</w:t>
      </w:r>
      <w:r>
        <w:t xml:space="preserve"> ustawy z dnia 17 listopada 1964 r. – Kodeks postępowania cywilnego. W razie nieuiszczenia opłaty w terminie 7 dni od otrzymania wezwania, komornik zwraca wniosek zawierający zlecenie.”;”;</w:t>
      </w:r>
    </w:p>
    <w:p w:rsidR="000E3987" w:rsidRPr="000E3987" w:rsidRDefault="00C208E6" w:rsidP="000E3987">
      <w:pPr>
        <w:pStyle w:val="PKTpunkt"/>
      </w:pPr>
      <w:r>
        <w:t>4</w:t>
      </w:r>
      <w:r w:rsidR="000E3987">
        <w:t>)</w:t>
      </w:r>
      <w:r w:rsidR="000E3987">
        <w:tab/>
      </w:r>
      <w:r w:rsidR="000E3987" w:rsidRPr="000E3987">
        <w:t>w art. 21 ust. 2 otrzymuje brzmienie:</w:t>
      </w:r>
    </w:p>
    <w:p w:rsidR="000E3987" w:rsidRDefault="000E3987" w:rsidP="000E3987">
      <w:pPr>
        <w:pStyle w:val="ZUSTzmustartykuempunktem"/>
      </w:pPr>
      <w:r w:rsidRPr="00476064">
        <w:t>„2. Przepisy art. 151 § 2, art. 162</w:t>
      </w:r>
      <w:r w:rsidRPr="0097092D">
        <w:rPr>
          <w:rStyle w:val="IGindeksgrny"/>
        </w:rPr>
        <w:t>1</w:t>
      </w:r>
      <w:r w:rsidRPr="00476064">
        <w:t>, art. 177 § 1 pkt 3</w:t>
      </w:r>
      <w:r w:rsidRPr="0097092D">
        <w:rPr>
          <w:rStyle w:val="IGindeksgrny"/>
        </w:rPr>
        <w:t>1</w:t>
      </w:r>
      <w:r w:rsidRPr="00476064">
        <w:t>, art. 235 § 2, art. 398</w:t>
      </w:r>
      <w:r w:rsidRPr="0097092D">
        <w:rPr>
          <w:rStyle w:val="IGindeksgrny"/>
        </w:rPr>
        <w:t>22</w:t>
      </w:r>
      <w:r w:rsidRPr="00476064">
        <w:t xml:space="preserve"> § 5, art. 398</w:t>
      </w:r>
      <w:r w:rsidRPr="0097092D">
        <w:rPr>
          <w:rStyle w:val="IGindeksgrny"/>
        </w:rPr>
        <w:t>23</w:t>
      </w:r>
      <w:r w:rsidRPr="00476064">
        <w:t xml:space="preserve"> § 2, art. 505</w:t>
      </w:r>
      <w:r w:rsidRPr="0097092D">
        <w:rPr>
          <w:rStyle w:val="IGindeksgrny"/>
        </w:rPr>
        <w:t>19a</w:t>
      </w:r>
      <w:r w:rsidRPr="00476064">
        <w:t>, art. 610</w:t>
      </w:r>
      <w:r w:rsidRPr="0097092D">
        <w:rPr>
          <w:rStyle w:val="IGindeksgrny"/>
        </w:rPr>
        <w:t>3</w:t>
      </w:r>
      <w:r w:rsidRPr="00476064">
        <w:t>, art. 626</w:t>
      </w:r>
      <w:r w:rsidRPr="0097092D">
        <w:rPr>
          <w:rStyle w:val="IGindeksgrny"/>
        </w:rPr>
        <w:t>12</w:t>
      </w:r>
      <w:r w:rsidRPr="00476064">
        <w:t xml:space="preserve"> § 1, art. 759</w:t>
      </w:r>
      <w:r w:rsidRPr="0097092D">
        <w:rPr>
          <w:rStyle w:val="IGindeksgrny"/>
        </w:rPr>
        <w:t>2</w:t>
      </w:r>
      <w:r w:rsidRPr="00476064">
        <w:t xml:space="preserve"> oraz art. 902</w:t>
      </w:r>
      <w:r w:rsidRPr="0097092D">
        <w:rPr>
          <w:rStyle w:val="IGindeksgrny"/>
        </w:rPr>
        <w:t>2</w:t>
      </w:r>
      <w:r w:rsidRPr="00476064">
        <w:t xml:space="preserve"> § 3 ustawy zmienianej w art. 2, przepisy art. 63a, art. 67 § 1a i 2a−2c oraz art. 89a § 3 ustawy zmienianej w art. 3, przepis art. 39 ust. 3 ustawy zmienianej w art. 14, przepisy art. 83 §</w:t>
      </w:r>
      <w:r>
        <w:t> </w:t>
      </w:r>
      <w:r w:rsidRPr="00476064">
        <w:t>3 oraz art. 299 ustawy zmienianej w art. 15</w:t>
      </w:r>
      <w:r>
        <w:t>,</w:t>
      </w:r>
      <w:r w:rsidRPr="00476064">
        <w:t xml:space="preserve"> w brzmieniu nadanym niniejszą ustawą, stosuje się od dnia wejścia w życie niniejszej ustawy.”</w:t>
      </w:r>
      <w:r w:rsidR="0053619D">
        <w:t>;</w:t>
      </w:r>
    </w:p>
    <w:p w:rsidR="0053619D" w:rsidRDefault="00C208E6" w:rsidP="0053619D">
      <w:pPr>
        <w:pStyle w:val="PKTpunkt"/>
      </w:pPr>
      <w:r>
        <w:t>5</w:t>
      </w:r>
      <w:r w:rsidR="0053619D">
        <w:t>)</w:t>
      </w:r>
      <w:r>
        <w:tab/>
      </w:r>
      <w:r w:rsidR="0053619D">
        <w:t>w art. 23 po pkt 1 dodaje się pkt 1a w brzmieniu:</w:t>
      </w:r>
    </w:p>
    <w:p w:rsidR="0053619D" w:rsidRDefault="0053619D" w:rsidP="0053619D">
      <w:pPr>
        <w:pStyle w:val="ZPKTzmpktartykuempunktem"/>
      </w:pPr>
      <w:r>
        <w:t>„1a)</w:t>
      </w:r>
      <w:r w:rsidRPr="0053619D">
        <w:t xml:space="preserve"> </w:t>
      </w:r>
      <w:r>
        <w:t>art. 2 pkt 49 lit. b, pkt 50, 51 i 102 oraz art. 8 pkt 5 w zakresie pkt 21, które wchodzą w życie z dniem 1 marca 2017 r.;”.</w:t>
      </w:r>
    </w:p>
    <w:p w:rsidR="000E3987" w:rsidRPr="000E3987" w:rsidRDefault="000E3987" w:rsidP="000E3987">
      <w:pPr>
        <w:pStyle w:val="ARTartustawynprozporzdzenia"/>
        <w:rPr>
          <w:rStyle w:val="Ppogrubienie"/>
        </w:rPr>
      </w:pPr>
      <w:r w:rsidRPr="004153C2">
        <w:rPr>
          <w:rStyle w:val="Ppogrubienie"/>
        </w:rPr>
        <w:t>Art. 4.</w:t>
      </w:r>
      <w:r>
        <w:rPr>
          <w:rStyle w:val="Ppogrubienie"/>
        </w:rPr>
        <w:t> </w:t>
      </w:r>
      <w:r w:rsidRPr="000E3987">
        <w:t>Przepis art. 1142</w:t>
      </w:r>
      <w:r w:rsidRPr="000E3987">
        <w:rPr>
          <w:rStyle w:val="IGindeksgrny"/>
        </w:rPr>
        <w:t>7</w:t>
      </w:r>
      <w:r w:rsidRPr="000E3987">
        <w:t xml:space="preserve"> ustawy zmienianej w art. 1 stosuje się do postępowań wszczętych po wejściu w życie niniejszej ustawy.</w:t>
      </w:r>
    </w:p>
    <w:p w:rsidR="005E31CC" w:rsidRDefault="000E3987" w:rsidP="000E3987">
      <w:pPr>
        <w:pStyle w:val="ARTartustawynprozporzdzenia"/>
      </w:pPr>
      <w:r w:rsidRPr="004153C2">
        <w:rPr>
          <w:rStyle w:val="Ppogrubienie"/>
        </w:rPr>
        <w:t>Art. 5.</w:t>
      </w:r>
      <w:r>
        <w:t> </w:t>
      </w:r>
      <w:r w:rsidRPr="00776C7A">
        <w:t xml:space="preserve">Ustawa wchodzi w życie z dniem </w:t>
      </w:r>
      <w:r>
        <w:t>8 września 2016 r.</w:t>
      </w:r>
    </w:p>
    <w:p w:rsidR="009A5F43" w:rsidRDefault="009A5F43" w:rsidP="000E3987">
      <w:pPr>
        <w:pStyle w:val="ARTartustawynprozporzdzenia"/>
      </w:pPr>
    </w:p>
    <w:p w:rsidR="009A5F43" w:rsidRDefault="009A5F43" w:rsidP="000E3987">
      <w:pPr>
        <w:pStyle w:val="ARTartustawynprozporzdzenia"/>
      </w:pPr>
    </w:p>
    <w:p w:rsidR="009A5F43" w:rsidRDefault="009A5F43" w:rsidP="009A5F43">
      <w:pPr>
        <w:pStyle w:val="tekst"/>
        <w:tabs>
          <w:tab w:val="left" w:pos="5670"/>
          <w:tab w:val="center" w:pos="6804"/>
        </w:tabs>
      </w:pPr>
    </w:p>
    <w:p w:rsidR="009A5F43" w:rsidRDefault="009A5F43" w:rsidP="009A5F43">
      <w:pPr>
        <w:pStyle w:val="tekst"/>
        <w:tabs>
          <w:tab w:val="center" w:pos="6804"/>
        </w:tabs>
        <w:spacing w:line="276" w:lineRule="auto"/>
      </w:pPr>
      <w:r>
        <w:tab/>
        <w:t>MARSZAŁEK SEJMU</w:t>
      </w:r>
    </w:p>
    <w:p w:rsidR="009A5F43" w:rsidRPr="00546BBA" w:rsidRDefault="009A5F43" w:rsidP="009A5F43">
      <w:pPr>
        <w:pStyle w:val="tekst"/>
        <w:tabs>
          <w:tab w:val="center" w:pos="6804"/>
        </w:tabs>
        <w:spacing w:line="276" w:lineRule="auto"/>
        <w:rPr>
          <w:sz w:val="18"/>
        </w:rPr>
      </w:pPr>
    </w:p>
    <w:p w:rsidR="009A5F43" w:rsidRPr="00546BBA" w:rsidRDefault="009A5F43" w:rsidP="009A5F43">
      <w:pPr>
        <w:pStyle w:val="tekst"/>
        <w:tabs>
          <w:tab w:val="center" w:pos="6804"/>
        </w:tabs>
        <w:spacing w:line="276" w:lineRule="auto"/>
        <w:rPr>
          <w:sz w:val="18"/>
        </w:rPr>
      </w:pPr>
    </w:p>
    <w:p w:rsidR="009A5F43" w:rsidRPr="00546BBA" w:rsidRDefault="009A5F43" w:rsidP="009A5F43">
      <w:pPr>
        <w:pStyle w:val="tekst"/>
        <w:tabs>
          <w:tab w:val="center" w:pos="6804"/>
        </w:tabs>
        <w:spacing w:line="276" w:lineRule="auto"/>
        <w:rPr>
          <w:sz w:val="18"/>
        </w:rPr>
      </w:pPr>
    </w:p>
    <w:p w:rsidR="009A5F43" w:rsidRDefault="009A5F43" w:rsidP="009A5F43">
      <w:pPr>
        <w:pStyle w:val="tekst"/>
        <w:tabs>
          <w:tab w:val="center" w:pos="6804"/>
        </w:tabs>
        <w:spacing w:line="276" w:lineRule="auto"/>
      </w:pPr>
      <w:r>
        <w:tab/>
        <w:t>Marek Kuchciński</w:t>
      </w:r>
    </w:p>
    <w:p w:rsidR="009A5F43" w:rsidRDefault="009A5F43" w:rsidP="009A5F43">
      <w:pPr>
        <w:pStyle w:val="tekst"/>
        <w:tabs>
          <w:tab w:val="center" w:pos="6804"/>
        </w:tabs>
      </w:pPr>
    </w:p>
    <w:p w:rsidR="009A5F43" w:rsidRPr="00251963" w:rsidRDefault="009A5F43" w:rsidP="000E3987">
      <w:pPr>
        <w:pStyle w:val="ARTartustawynprozporzdzenia"/>
        <w:rPr>
          <w:rStyle w:val="Ppogrubienie"/>
          <w:b w:val="0"/>
        </w:rPr>
      </w:pPr>
    </w:p>
    <w:sectPr w:rsidR="009A5F43" w:rsidRPr="00251963" w:rsidSect="00945E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1906" w:h="16838"/>
      <w:pgMar w:top="1134" w:right="1701" w:bottom="1134" w:left="170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897" w:rsidRDefault="001A4897">
      <w:r>
        <w:separator/>
      </w:r>
    </w:p>
  </w:endnote>
  <w:endnote w:type="continuationSeparator" w:id="0">
    <w:p w:rsidR="001A4897" w:rsidRDefault="001A4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22C" w:rsidRDefault="005472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22C" w:rsidRDefault="0054722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22C" w:rsidRDefault="005472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897" w:rsidRDefault="001A4897">
      <w:r>
        <w:separator/>
      </w:r>
    </w:p>
  </w:footnote>
  <w:footnote w:type="continuationSeparator" w:id="0">
    <w:p w:rsidR="001A4897" w:rsidRDefault="001A4897">
      <w:r>
        <w:continuationSeparator/>
      </w:r>
    </w:p>
  </w:footnote>
  <w:footnote w:id="1">
    <w:p w:rsidR="000E3987" w:rsidRDefault="000E3987" w:rsidP="000E3987">
      <w:pPr>
        <w:pStyle w:val="ODNONIKtreodnonika"/>
      </w:pPr>
      <w:r w:rsidRPr="00776C7A">
        <w:rPr>
          <w:rStyle w:val="IGindeksgrny"/>
        </w:rPr>
        <w:footnoteRef/>
      </w:r>
      <w:r w:rsidRPr="00776C7A">
        <w:rPr>
          <w:rStyle w:val="IGindeksgrny"/>
        </w:rPr>
        <w:t>)</w:t>
      </w:r>
      <w:r>
        <w:rPr>
          <w:rStyle w:val="IGindeksgrny"/>
        </w:rPr>
        <w:tab/>
      </w:r>
      <w:r>
        <w:t>Niniejsza ustawa służy stosowaniu rozporządzenia Parlamentu Europejskiego i Rady (UE</w:t>
      </w:r>
      <w:r w:rsidRPr="00977D1A">
        <w:t>) nr</w:t>
      </w:r>
      <w:r>
        <w:t xml:space="preserve"> 650</w:t>
      </w:r>
      <w:r w:rsidRPr="00977D1A">
        <w:t>/20</w:t>
      </w:r>
      <w:r>
        <w:t>12</w:t>
      </w:r>
      <w:r w:rsidRPr="00977D1A">
        <w:t xml:space="preserve"> z</w:t>
      </w:r>
      <w:r>
        <w:t> </w:t>
      </w:r>
      <w:r w:rsidRPr="00977D1A">
        <w:t xml:space="preserve">dnia </w:t>
      </w:r>
      <w:r>
        <w:t xml:space="preserve">4 lipca </w:t>
      </w:r>
      <w:r w:rsidRPr="00977D1A">
        <w:t>20</w:t>
      </w:r>
      <w:r>
        <w:t>12</w:t>
      </w:r>
      <w:r w:rsidRPr="00977D1A">
        <w:t xml:space="preserve"> r. w sprawie </w:t>
      </w:r>
      <w:r>
        <w:t xml:space="preserve">jurysdykcji, prawa właściwego, uznawania i wykonywania orzeczeń, przyjmowania i wykonywania dokumentów urzędowych dotyczących dziedziczenia oraz w sprawie ustanowienia europejskiego poświadczenia spadkowego </w:t>
      </w:r>
      <w:r w:rsidRPr="00977D1A">
        <w:t xml:space="preserve">(Dz. Urz. UE L </w:t>
      </w:r>
      <w:r>
        <w:t>201 z 27.07.2012, str. 107, Dz. Urz. UE L 344 z 14.12.2012, str. 3 i Dz. Urz. UE L 60 z 02.03.2013, str. 140</w:t>
      </w:r>
      <w:r w:rsidRPr="00977D1A">
        <w:t>)</w:t>
      </w:r>
      <w:r>
        <w:t>.</w:t>
      </w:r>
    </w:p>
  </w:footnote>
  <w:footnote w:id="2">
    <w:p w:rsidR="000E3987" w:rsidRDefault="000E3987" w:rsidP="000E3987">
      <w:pPr>
        <w:pStyle w:val="ODNONIKtreodnonika"/>
      </w:pPr>
      <w:r w:rsidRPr="00776C7A">
        <w:rPr>
          <w:rStyle w:val="IGindeksgrny"/>
        </w:rPr>
        <w:footnoteRef/>
      </w:r>
      <w:r w:rsidRPr="00776C7A">
        <w:rPr>
          <w:rStyle w:val="IGindeksgrny"/>
        </w:rPr>
        <w:t>)</w:t>
      </w:r>
      <w:r>
        <w:rPr>
          <w:rStyle w:val="IGindeksgrny"/>
        </w:rPr>
        <w:tab/>
      </w:r>
      <w:r w:rsidRPr="00251061">
        <w:t xml:space="preserve">Zmiany tekstu </w:t>
      </w:r>
      <w:r w:rsidRPr="00776C7A">
        <w:t>jednolitego</w:t>
      </w:r>
      <w:r w:rsidRPr="00251061">
        <w:t xml:space="preserve"> wymienionej ustawy zostały ogłoszone w Dz. U. z 2014 r. poz. 293, 379, 435, 567, 616, 945, 1091</w:t>
      </w:r>
      <w:r>
        <w:t>,</w:t>
      </w:r>
      <w:r w:rsidRPr="00251061">
        <w:t xml:space="preserve"> 1161</w:t>
      </w:r>
      <w:r>
        <w:t>, 1296, 1585, 1626, 1741 i 1924, z 2015 r. poz. 2, 4, 218, 539, 978, 1062, 1137, 1199, 1311, 1418, 1419, 1505, 1527, 1567, 1587, 1595, 1634, 1635 i 185</w:t>
      </w:r>
      <w:r w:rsidR="0054722C">
        <w:t>4 oraz z 2016 r. poz. 195, 437, 868 i 996.</w:t>
      </w:r>
    </w:p>
  </w:footnote>
  <w:footnote w:id="3">
    <w:p w:rsidR="000E3987" w:rsidRDefault="000E3987" w:rsidP="000E3987">
      <w:pPr>
        <w:pStyle w:val="ODNONIKtreodnonika"/>
      </w:pPr>
      <w:r>
        <w:rPr>
          <w:rStyle w:val="Odwoanieprzypisudolnego"/>
        </w:rPr>
        <w:footnoteRef/>
      </w:r>
      <w:r w:rsidRPr="00787920">
        <w:rPr>
          <w:rStyle w:val="IGindeksgrny"/>
        </w:rPr>
        <w:t>)</w:t>
      </w:r>
      <w:r>
        <w:tab/>
        <w:t xml:space="preserve">Zmiany tekstu jednolitego wymienionej ustawy zostały ogłoszone w Dz. U. z 2014 r. poz. 993 i 1585 oraz z 2015 r. </w:t>
      </w:r>
      <w:r w:rsidRPr="00141BEA">
        <w:t>poz. 218, 978, 1137</w:t>
      </w:r>
      <w:r>
        <w:t>,</w:t>
      </w:r>
      <w:r w:rsidRPr="00141BEA">
        <w:t xml:space="preserve"> 1224</w:t>
      </w:r>
      <w:r>
        <w:t xml:space="preserve"> i 1311.</w:t>
      </w:r>
    </w:p>
  </w:footnote>
  <w:footnote w:id="4">
    <w:p w:rsidR="0053619D" w:rsidRPr="0006790B" w:rsidRDefault="0053619D" w:rsidP="0053619D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Zmiany tekstu jednolitego wymienionej ustawy zostały ogłoszone w Dz. U. z 2014 r. poz. 993 i 1585,</w:t>
      </w:r>
      <w:r w:rsidRPr="0006790B">
        <w:t xml:space="preserve"> z 201</w:t>
      </w:r>
      <w:r w:rsidR="00C208E6">
        <w:t>5 r. poz. 218, 978, 1137, 1224 i</w:t>
      </w:r>
      <w:r w:rsidRPr="0006790B">
        <w:t xml:space="preserve"> 1311</w:t>
      </w:r>
      <w:r>
        <w:t xml:space="preserve"> oraz z 2016 r. poz. …</w:t>
      </w:r>
    </w:p>
  </w:footnote>
  <w:footnote w:id="5">
    <w:p w:rsidR="0006790B" w:rsidRPr="0006790B" w:rsidRDefault="0006790B" w:rsidP="0006790B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251061">
        <w:t xml:space="preserve">Zmiany tekstu </w:t>
      </w:r>
      <w:r w:rsidRPr="00776C7A">
        <w:t>jednolitego</w:t>
      </w:r>
      <w:r w:rsidRPr="00251061">
        <w:t xml:space="preserve"> wymienionej ustawy zostały ogłoszone w Dz. U. z 2014 r. poz. 293, 379, 435, 567, 616, 945, 1091</w:t>
      </w:r>
      <w:r>
        <w:t>,</w:t>
      </w:r>
      <w:r w:rsidRPr="00251061">
        <w:t xml:space="preserve"> 1161</w:t>
      </w:r>
      <w:r>
        <w:t>, 1296, 1585, 1626, 1741 i 1924, z 2015 r. poz. 2, 4, 218, 539, 978, 1062, 1137, 1199, 1311, 1418, 1419, 1505, 1527, 1567, 1587, 1595, 1634, 1635 i 185</w:t>
      </w:r>
      <w:r w:rsidR="003F4BA8">
        <w:t>4 oraz z 2016 r. poz. 195, 437, 868</w:t>
      </w:r>
      <w:r w:rsidR="0054722C">
        <w:t>, 996</w:t>
      </w:r>
      <w:r w:rsidR="003F4BA8">
        <w:t xml:space="preserve"> i …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22C" w:rsidRDefault="005472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2890680"/>
      <w:docPartObj>
        <w:docPartGallery w:val="Page Numbers (Top of Page)"/>
        <w:docPartUnique/>
      </w:docPartObj>
    </w:sdtPr>
    <w:sdtEndPr/>
    <w:sdtContent>
      <w:p w:rsidR="00945E45" w:rsidRDefault="00945E45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F62">
          <w:rPr>
            <w:noProof/>
          </w:rPr>
          <w:t>7</w:t>
        </w:r>
        <w:r>
          <w:fldChar w:fldCharType="end"/>
        </w:r>
      </w:p>
    </w:sdtContent>
  </w:sdt>
  <w:p w:rsidR="00CC3E3D" w:rsidRPr="00945E45" w:rsidRDefault="00CC3E3D" w:rsidP="00945E4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22C" w:rsidRDefault="005472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BA3"/>
    <w:rsid w:val="000012DA"/>
    <w:rsid w:val="0000246E"/>
    <w:rsid w:val="00003862"/>
    <w:rsid w:val="00012A35"/>
    <w:rsid w:val="00016099"/>
    <w:rsid w:val="00017DC2"/>
    <w:rsid w:val="00021522"/>
    <w:rsid w:val="000225DD"/>
    <w:rsid w:val="00023471"/>
    <w:rsid w:val="00023F13"/>
    <w:rsid w:val="00030634"/>
    <w:rsid w:val="000319C1"/>
    <w:rsid w:val="00031A8B"/>
    <w:rsid w:val="00031BCA"/>
    <w:rsid w:val="000328C8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5AD7"/>
    <w:rsid w:val="00057AB3"/>
    <w:rsid w:val="00060076"/>
    <w:rsid w:val="00060432"/>
    <w:rsid w:val="00060D87"/>
    <w:rsid w:val="000615A5"/>
    <w:rsid w:val="00064E4C"/>
    <w:rsid w:val="00066901"/>
    <w:rsid w:val="0006790B"/>
    <w:rsid w:val="00071BEE"/>
    <w:rsid w:val="000736CD"/>
    <w:rsid w:val="0007533B"/>
    <w:rsid w:val="0007545D"/>
    <w:rsid w:val="000760BF"/>
    <w:rsid w:val="0007613E"/>
    <w:rsid w:val="00076BFC"/>
    <w:rsid w:val="000814A7"/>
    <w:rsid w:val="00084E7F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3987"/>
    <w:rsid w:val="000E490F"/>
    <w:rsid w:val="000E6241"/>
    <w:rsid w:val="000F2BE3"/>
    <w:rsid w:val="000F3D0D"/>
    <w:rsid w:val="000F587C"/>
    <w:rsid w:val="000F6ED4"/>
    <w:rsid w:val="000F7A6E"/>
    <w:rsid w:val="00100541"/>
    <w:rsid w:val="001042BA"/>
    <w:rsid w:val="00106D03"/>
    <w:rsid w:val="00110465"/>
    <w:rsid w:val="00110628"/>
    <w:rsid w:val="00110EE1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4897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561E"/>
    <w:rsid w:val="0023727E"/>
    <w:rsid w:val="00242081"/>
    <w:rsid w:val="00243777"/>
    <w:rsid w:val="002441CD"/>
    <w:rsid w:val="002501A3"/>
    <w:rsid w:val="0025166C"/>
    <w:rsid w:val="00251963"/>
    <w:rsid w:val="002555D4"/>
    <w:rsid w:val="002561B3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5AF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57185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5835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4BA8"/>
    <w:rsid w:val="003F5BAE"/>
    <w:rsid w:val="003F6ED7"/>
    <w:rsid w:val="00401C84"/>
    <w:rsid w:val="00403210"/>
    <w:rsid w:val="004035BB"/>
    <w:rsid w:val="004035EB"/>
    <w:rsid w:val="00407332"/>
    <w:rsid w:val="00407828"/>
    <w:rsid w:val="00410B85"/>
    <w:rsid w:val="00413D8E"/>
    <w:rsid w:val="004140F2"/>
    <w:rsid w:val="00417B22"/>
    <w:rsid w:val="00421085"/>
    <w:rsid w:val="004223EF"/>
    <w:rsid w:val="004225A4"/>
    <w:rsid w:val="0042465E"/>
    <w:rsid w:val="00424DF7"/>
    <w:rsid w:val="00431BA3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0E53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19D"/>
    <w:rsid w:val="005363AB"/>
    <w:rsid w:val="00544EF4"/>
    <w:rsid w:val="00545E53"/>
    <w:rsid w:val="0054722C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61CC"/>
    <w:rsid w:val="005B713E"/>
    <w:rsid w:val="005C03B6"/>
    <w:rsid w:val="005C348E"/>
    <w:rsid w:val="005C68E1"/>
    <w:rsid w:val="005D3763"/>
    <w:rsid w:val="005D55E1"/>
    <w:rsid w:val="005E19F7"/>
    <w:rsid w:val="005E31CC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2E72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E7F0A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0B8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3F62"/>
    <w:rsid w:val="00776DC2"/>
    <w:rsid w:val="00780122"/>
    <w:rsid w:val="0078214B"/>
    <w:rsid w:val="0078498A"/>
    <w:rsid w:val="00785A55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E6625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68D1"/>
    <w:rsid w:val="00827820"/>
    <w:rsid w:val="00831B8B"/>
    <w:rsid w:val="00832D23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62DB"/>
    <w:rsid w:val="008C7233"/>
    <w:rsid w:val="008D2434"/>
    <w:rsid w:val="008D6F1C"/>
    <w:rsid w:val="008E171D"/>
    <w:rsid w:val="008E2785"/>
    <w:rsid w:val="008E78A3"/>
    <w:rsid w:val="008F0654"/>
    <w:rsid w:val="008F06CB"/>
    <w:rsid w:val="008F2E83"/>
    <w:rsid w:val="008F612A"/>
    <w:rsid w:val="009023A4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295A"/>
    <w:rsid w:val="009332A2"/>
    <w:rsid w:val="00937598"/>
    <w:rsid w:val="0093790B"/>
    <w:rsid w:val="00943751"/>
    <w:rsid w:val="00945E45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969"/>
    <w:rsid w:val="00984E03"/>
    <w:rsid w:val="009858FB"/>
    <w:rsid w:val="00987E85"/>
    <w:rsid w:val="009A0D12"/>
    <w:rsid w:val="009A1987"/>
    <w:rsid w:val="009A2BEE"/>
    <w:rsid w:val="009A5289"/>
    <w:rsid w:val="009A5F43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BA3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6EA8"/>
    <w:rsid w:val="00AE7D16"/>
    <w:rsid w:val="00AF2CA2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25070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D73FF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08E6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57B8B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2840"/>
    <w:rsid w:val="00CA154B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C6B21"/>
    <w:rsid w:val="00CD12C1"/>
    <w:rsid w:val="00CD214E"/>
    <w:rsid w:val="00CD46FA"/>
    <w:rsid w:val="00CD5973"/>
    <w:rsid w:val="00CE31A6"/>
    <w:rsid w:val="00CF09AA"/>
    <w:rsid w:val="00CF2218"/>
    <w:rsid w:val="00CF4813"/>
    <w:rsid w:val="00CF5233"/>
    <w:rsid w:val="00D029B8"/>
    <w:rsid w:val="00D02F60"/>
    <w:rsid w:val="00D045FD"/>
    <w:rsid w:val="00D0464E"/>
    <w:rsid w:val="00D04A96"/>
    <w:rsid w:val="00D07A7B"/>
    <w:rsid w:val="00D10E06"/>
    <w:rsid w:val="00D15197"/>
    <w:rsid w:val="00D16820"/>
    <w:rsid w:val="00D169C8"/>
    <w:rsid w:val="00D1793F"/>
    <w:rsid w:val="00D2148E"/>
    <w:rsid w:val="00D22AF5"/>
    <w:rsid w:val="00D235EA"/>
    <w:rsid w:val="00D247A9"/>
    <w:rsid w:val="00D32721"/>
    <w:rsid w:val="00D328DC"/>
    <w:rsid w:val="00D33387"/>
    <w:rsid w:val="00D402FB"/>
    <w:rsid w:val="00D43EF9"/>
    <w:rsid w:val="00D4718E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85390"/>
    <w:rsid w:val="00D90E69"/>
    <w:rsid w:val="00D91368"/>
    <w:rsid w:val="00D93106"/>
    <w:rsid w:val="00D933E9"/>
    <w:rsid w:val="00D9505D"/>
    <w:rsid w:val="00D953D0"/>
    <w:rsid w:val="00D959F5"/>
    <w:rsid w:val="00D96884"/>
    <w:rsid w:val="00D97F8D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64AA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3FA3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1972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B403A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E3936"/>
    <w:rsid w:val="00EF0B96"/>
    <w:rsid w:val="00EF3486"/>
    <w:rsid w:val="00EF47AF"/>
    <w:rsid w:val="00EF53B6"/>
    <w:rsid w:val="00F00B73"/>
    <w:rsid w:val="00F115CA"/>
    <w:rsid w:val="00F1262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3A44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657"/>
    <w:rsid w:val="00F92C0A"/>
    <w:rsid w:val="00F9415B"/>
    <w:rsid w:val="00FA13C2"/>
    <w:rsid w:val="00FA7F91"/>
    <w:rsid w:val="00FB121C"/>
    <w:rsid w:val="00FB1CDD"/>
    <w:rsid w:val="00FB2C2F"/>
    <w:rsid w:val="00FB305C"/>
    <w:rsid w:val="00FC2E3D"/>
    <w:rsid w:val="00FC3BDE"/>
    <w:rsid w:val="00FD041B"/>
    <w:rsid w:val="00FD1DBE"/>
    <w:rsid w:val="00FD25A7"/>
    <w:rsid w:val="00FD27B6"/>
    <w:rsid w:val="00FD3689"/>
    <w:rsid w:val="00FD42A3"/>
    <w:rsid w:val="00FD7468"/>
    <w:rsid w:val="00FD7CE0"/>
    <w:rsid w:val="00FE0B3B"/>
    <w:rsid w:val="00FE1984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0" w:defUnhideWhenUsed="0" w:defQFormat="0" w:count="267">
    <w:lsdException w:name="Normal" w:locked="0" w:uiPriority="0" w:qFormat="1"/>
    <w:lsdException w:name="heading 1" w:locked="0" w:uiPriority="0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/>
    <w:lsdException w:name="index 2" w:locked="0" w:semiHidden="1"/>
    <w:lsdException w:name="index 3" w:locked="0" w:semiHidden="1"/>
    <w:lsdException w:name="index 4" w:locked="0" w:semiHidden="1"/>
    <w:lsdException w:name="index 5" w:locked="0" w:semiHidden="1"/>
    <w:lsdException w:name="index 6" w:locked="0" w:semiHidden="1"/>
    <w:lsdException w:name="index 7" w:locked="0" w:semiHidden="1"/>
    <w:lsdException w:name="index 8" w:locked="0" w:semiHidden="1"/>
    <w:lsdException w:name="index 9" w:locked="0" w:semiHidden="1"/>
    <w:lsdException w:name="toc 1" w:locked="0" w:semiHidden="1"/>
    <w:lsdException w:name="toc 2" w:locked="0" w:semiHidden="1"/>
    <w:lsdException w:name="toc 3" w:locked="0" w:semiHidden="1"/>
    <w:lsdException w:name="toc 4" w:locked="0" w:semiHidden="1"/>
    <w:lsdException w:name="toc 5" w:locked="0" w:semiHidden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locked="0" w:semiHidden="1"/>
    <w:lsdException w:name="footnote text" w:qFormat="1"/>
    <w:lsdException w:name="annotation text" w:locked="0" w:semiHidden="1" w:uiPriority="0"/>
    <w:lsdException w:name="header" w:locked="0"/>
    <w:lsdException w:name="footer" w:locked="0"/>
    <w:lsdException w:name="index heading" w:locked="0" w:semiHidden="1"/>
    <w:lsdException w:name="caption" w:locked="0" w:semiHidden="1" w:unhideWhenUsed="1" w:qFormat="1"/>
    <w:lsdException w:name="table of figures" w:locked="0" w:semiHidden="1"/>
    <w:lsdException w:name="envelope address" w:locked="0" w:semiHidden="1"/>
    <w:lsdException w:name="envelope return" w:locked="0" w:semiHidden="1"/>
    <w:lsdException w:name="footnote reference" w:locked="0"/>
    <w:lsdException w:name="annotation reference" w:locked="0" w:semiHidden="1" w:uiPriority="0"/>
    <w:lsdException w:name="line number" w:locked="0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locked="0" w:semiHidden="1"/>
    <w:lsdException w:name="List Bullet" w:locked="0" w:semiHidden="1"/>
    <w:lsdException w:name="List Number" w:locked="0" w:semiHidden="1"/>
    <w:lsdException w:name="List 2" w:locked="0" w:semiHidden="1"/>
    <w:lsdException w:name="List 3" w:locked="0" w:semiHidden="1"/>
    <w:lsdException w:name="List 4" w:locked="0" w:semiHidden="1"/>
    <w:lsdException w:name="List 5" w:locked="0" w:semiHidden="1"/>
    <w:lsdException w:name="List Bullet 2" w:locked="0" w:semiHidden="1"/>
    <w:lsdException w:name="List Bullet 3" w:locked="0" w:semiHidden="1"/>
    <w:lsdException w:name="List Bullet 4" w:locked="0" w:semiHidden="1"/>
    <w:lsdException w:name="List Bullet 5" w:locked="0" w:semiHidden="1"/>
    <w:lsdException w:name="List Number 2" w:locked="0" w:semiHidden="1"/>
    <w:lsdException w:name="List Number 3" w:locked="0" w:semiHidden="1"/>
    <w:lsdException w:name="List Number 4" w:locked="0" w:semiHidden="1"/>
    <w:lsdException w:name="List Number 5" w:locked="0" w:semiHidden="1"/>
    <w:lsdException w:name="Title" w:locked="0" w:semiHidden="1"/>
    <w:lsdException w:name="Closing" w:locked="0" w:semiHidden="1"/>
    <w:lsdException w:name="Signature" w:locked="0" w:semiHidden="1"/>
    <w:lsdException w:name="Default Paragraph Font" w:locked="0" w:uiPriority="1"/>
    <w:lsdException w:name="Body Text" w:locked="0" w:semiHidden="1"/>
    <w:lsdException w:name="Body Text Indent" w:locked="0" w:semiHidden="1"/>
    <w:lsdException w:name="List Continue" w:locked="0" w:semiHidden="1"/>
    <w:lsdException w:name="List Continue 2" w:locked="0" w:semiHidden="1"/>
    <w:lsdException w:name="List Continue 3" w:locked="0" w:semiHidden="1"/>
    <w:lsdException w:name="List Continue 4" w:locked="0" w:semiHidden="1"/>
    <w:lsdException w:name="List Continue 5" w:locked="0" w:semiHidden="1"/>
    <w:lsdException w:name="Message Header" w:locked="0" w:semiHidden="1"/>
    <w:lsdException w:name="Subtitle" w:locked="0" w:semiHidden="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/>
    <w:lsdException w:name="Note Heading" w:locked="0" w:semiHidden="1"/>
    <w:lsdException w:name="Body Text 2" w:locked="0" w:semiHidden="1"/>
    <w:lsdException w:name="Body Text 3" w:locked="0" w:semiHidden="1"/>
    <w:lsdException w:name="Body Text Indent 2" w:locked="0" w:semiHidden="1"/>
    <w:lsdException w:name="Body Text Indent 3" w:locked="0" w:semiHidden="1"/>
    <w:lsdException w:name="Block Text" w:locked="0" w:semiHidden="1"/>
    <w:lsdException w:name="Hyperlink" w:locked="0" w:semiHidden="1"/>
    <w:lsdException w:name="FollowedHyperlink" w:locked="0" w:semiHidden="1"/>
    <w:lsdException w:name="Strong" w:locked="0" w:semiHidden="1" w:qFormat="1"/>
    <w:lsdException w:name="Emphasis" w:locked="0" w:semiHidden="1"/>
    <w:lsdException w:name="Document Map" w:locked="0" w:semiHidden="1"/>
    <w:lsdException w:name="Plain Text" w:locked="0" w:semiHidden="1"/>
    <w:lsdException w:name="E-mail Signature" w:locked="0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locked="0" w:semiHidden="1"/>
    <w:lsdException w:name="HTML Address" w:locked="0" w:semiHidden="1"/>
    <w:lsdException w:name="HTML Cite" w:locked="0" w:semiHidden="1"/>
    <w:lsdException w:name="HTML Code" w:locked="0" w:semiHidden="1"/>
    <w:lsdException w:name="HTML Definition" w:locked="0" w:semiHidden="1"/>
    <w:lsdException w:name="HTML Keyboard" w:locked="0" w:semiHidden="1"/>
    <w:lsdException w:name="HTML Preformatted" w:locked="0" w:semiHidden="1"/>
    <w:lsdException w:name="HTML Sample" w:locked="0" w:semiHidden="1"/>
    <w:lsdException w:name="HTML Typewriter" w:locked="0" w:semiHidden="1"/>
    <w:lsdException w:name="HTML Variable" w:locked="0" w:semiHidden="1"/>
    <w:lsdException w:name="Normal Table" w:locked="0" w:uiPriority="0"/>
    <w:lsdException w:name="annotation subject" w:locked="0" w:semiHidden="1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/>
    <w:lsdException w:name="Quote" w:locked="0" w:semiHidden="1" w:qFormat="1"/>
    <w:lsdException w:name="Intense Quote" w:locked="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/>
    <w:lsdException w:name="Intense Emphasis" w:locked="0" w:semiHidden="1"/>
    <w:lsdException w:name="Subtle Reference" w:locked="0" w:semiHidden="1"/>
    <w:lsdException w:name="Intense Reference" w:locked="0" w:semiHidden="1"/>
    <w:lsdException w:name="Book Title" w:locked="0" w:semiHidden="1"/>
    <w:lsdException w:name="Bibliography" w:locked="0" w:semiHidden="1" w:unhideWhenUsed="1"/>
    <w:lsdException w:name="TOC Heading" w:locked="0" w:semiHidden="1" w:unhideWhenUsed="1" w:qFormat="1"/>
  </w:latentStyles>
  <w:style w:type="paragraph" w:default="1" w:styleId="Normalny">
    <w:name w:val="Normal"/>
    <w:qFormat/>
    <w:rsid w:val="0053619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widowControl w:val="0"/>
      <w:suppressAutoHyphens/>
      <w:spacing w:before="480" w:after="0" w:line="36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4C3F9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/>
      <w:kern w:val="1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/>
      <w:kern w:val="1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after="0" w:line="240" w:lineRule="auto"/>
      <w:ind w:left="283" w:hanging="170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Theme="minorEastAsia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customStyle="1" w:styleId="Notatkanamarginesie">
    <w:name w:val="Notatka na marginesie"/>
    <w:basedOn w:val="Normalny"/>
    <w:qFormat/>
    <w:rsid w:val="00F926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tytu">
    <w:name w:val="tytuł"/>
    <w:basedOn w:val="Normalny"/>
    <w:rsid w:val="00945E45"/>
    <w:pPr>
      <w:suppressLineNumbers/>
      <w:overflowPunct w:val="0"/>
      <w:autoSpaceDE w:val="0"/>
      <w:autoSpaceDN w:val="0"/>
      <w:adjustRightInd w:val="0"/>
      <w:spacing w:before="80" w:after="8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tekst">
    <w:name w:val="tekst"/>
    <w:basedOn w:val="Normalny"/>
    <w:rsid w:val="009A5F43"/>
    <w:pPr>
      <w:overflowPunct w:val="0"/>
      <w:autoSpaceDE w:val="0"/>
      <w:autoSpaceDN w:val="0"/>
      <w:adjustRightInd w:val="0"/>
      <w:spacing w:after="8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0" w:defUnhideWhenUsed="0" w:defQFormat="0" w:count="267">
    <w:lsdException w:name="Normal" w:locked="0" w:uiPriority="0" w:qFormat="1"/>
    <w:lsdException w:name="heading 1" w:locked="0" w:uiPriority="0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/>
    <w:lsdException w:name="index 2" w:locked="0" w:semiHidden="1"/>
    <w:lsdException w:name="index 3" w:locked="0" w:semiHidden="1"/>
    <w:lsdException w:name="index 4" w:locked="0" w:semiHidden="1"/>
    <w:lsdException w:name="index 5" w:locked="0" w:semiHidden="1"/>
    <w:lsdException w:name="index 6" w:locked="0" w:semiHidden="1"/>
    <w:lsdException w:name="index 7" w:locked="0" w:semiHidden="1"/>
    <w:lsdException w:name="index 8" w:locked="0" w:semiHidden="1"/>
    <w:lsdException w:name="index 9" w:locked="0" w:semiHidden="1"/>
    <w:lsdException w:name="toc 1" w:locked="0" w:semiHidden="1"/>
    <w:lsdException w:name="toc 2" w:locked="0" w:semiHidden="1"/>
    <w:lsdException w:name="toc 3" w:locked="0" w:semiHidden="1"/>
    <w:lsdException w:name="toc 4" w:locked="0" w:semiHidden="1"/>
    <w:lsdException w:name="toc 5" w:locked="0" w:semiHidden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locked="0" w:semiHidden="1"/>
    <w:lsdException w:name="footnote text" w:qFormat="1"/>
    <w:lsdException w:name="annotation text" w:locked="0" w:semiHidden="1" w:uiPriority="0"/>
    <w:lsdException w:name="header" w:locked="0"/>
    <w:lsdException w:name="footer" w:locked="0"/>
    <w:lsdException w:name="index heading" w:locked="0" w:semiHidden="1"/>
    <w:lsdException w:name="caption" w:locked="0" w:semiHidden="1" w:unhideWhenUsed="1" w:qFormat="1"/>
    <w:lsdException w:name="table of figures" w:locked="0" w:semiHidden="1"/>
    <w:lsdException w:name="envelope address" w:locked="0" w:semiHidden="1"/>
    <w:lsdException w:name="envelope return" w:locked="0" w:semiHidden="1"/>
    <w:lsdException w:name="footnote reference" w:locked="0"/>
    <w:lsdException w:name="annotation reference" w:locked="0" w:semiHidden="1" w:uiPriority="0"/>
    <w:lsdException w:name="line number" w:locked="0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locked="0" w:semiHidden="1"/>
    <w:lsdException w:name="List Bullet" w:locked="0" w:semiHidden="1"/>
    <w:lsdException w:name="List Number" w:locked="0" w:semiHidden="1"/>
    <w:lsdException w:name="List 2" w:locked="0" w:semiHidden="1"/>
    <w:lsdException w:name="List 3" w:locked="0" w:semiHidden="1"/>
    <w:lsdException w:name="List 4" w:locked="0" w:semiHidden="1"/>
    <w:lsdException w:name="List 5" w:locked="0" w:semiHidden="1"/>
    <w:lsdException w:name="List Bullet 2" w:locked="0" w:semiHidden="1"/>
    <w:lsdException w:name="List Bullet 3" w:locked="0" w:semiHidden="1"/>
    <w:lsdException w:name="List Bullet 4" w:locked="0" w:semiHidden="1"/>
    <w:lsdException w:name="List Bullet 5" w:locked="0" w:semiHidden="1"/>
    <w:lsdException w:name="List Number 2" w:locked="0" w:semiHidden="1"/>
    <w:lsdException w:name="List Number 3" w:locked="0" w:semiHidden="1"/>
    <w:lsdException w:name="List Number 4" w:locked="0" w:semiHidden="1"/>
    <w:lsdException w:name="List Number 5" w:locked="0" w:semiHidden="1"/>
    <w:lsdException w:name="Title" w:locked="0" w:semiHidden="1"/>
    <w:lsdException w:name="Closing" w:locked="0" w:semiHidden="1"/>
    <w:lsdException w:name="Signature" w:locked="0" w:semiHidden="1"/>
    <w:lsdException w:name="Default Paragraph Font" w:locked="0" w:uiPriority="1"/>
    <w:lsdException w:name="Body Text" w:locked="0" w:semiHidden="1"/>
    <w:lsdException w:name="Body Text Indent" w:locked="0" w:semiHidden="1"/>
    <w:lsdException w:name="List Continue" w:locked="0" w:semiHidden="1"/>
    <w:lsdException w:name="List Continue 2" w:locked="0" w:semiHidden="1"/>
    <w:lsdException w:name="List Continue 3" w:locked="0" w:semiHidden="1"/>
    <w:lsdException w:name="List Continue 4" w:locked="0" w:semiHidden="1"/>
    <w:lsdException w:name="List Continue 5" w:locked="0" w:semiHidden="1"/>
    <w:lsdException w:name="Message Header" w:locked="0" w:semiHidden="1"/>
    <w:lsdException w:name="Subtitle" w:locked="0" w:semiHidden="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/>
    <w:lsdException w:name="Note Heading" w:locked="0" w:semiHidden="1"/>
    <w:lsdException w:name="Body Text 2" w:locked="0" w:semiHidden="1"/>
    <w:lsdException w:name="Body Text 3" w:locked="0" w:semiHidden="1"/>
    <w:lsdException w:name="Body Text Indent 2" w:locked="0" w:semiHidden="1"/>
    <w:lsdException w:name="Body Text Indent 3" w:locked="0" w:semiHidden="1"/>
    <w:lsdException w:name="Block Text" w:locked="0" w:semiHidden="1"/>
    <w:lsdException w:name="Hyperlink" w:locked="0" w:semiHidden="1"/>
    <w:lsdException w:name="FollowedHyperlink" w:locked="0" w:semiHidden="1"/>
    <w:lsdException w:name="Strong" w:locked="0" w:semiHidden="1" w:qFormat="1"/>
    <w:lsdException w:name="Emphasis" w:locked="0" w:semiHidden="1"/>
    <w:lsdException w:name="Document Map" w:locked="0" w:semiHidden="1"/>
    <w:lsdException w:name="Plain Text" w:locked="0" w:semiHidden="1"/>
    <w:lsdException w:name="E-mail Signature" w:locked="0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locked="0" w:semiHidden="1"/>
    <w:lsdException w:name="HTML Address" w:locked="0" w:semiHidden="1"/>
    <w:lsdException w:name="HTML Cite" w:locked="0" w:semiHidden="1"/>
    <w:lsdException w:name="HTML Code" w:locked="0" w:semiHidden="1"/>
    <w:lsdException w:name="HTML Definition" w:locked="0" w:semiHidden="1"/>
    <w:lsdException w:name="HTML Keyboard" w:locked="0" w:semiHidden="1"/>
    <w:lsdException w:name="HTML Preformatted" w:locked="0" w:semiHidden="1"/>
    <w:lsdException w:name="HTML Sample" w:locked="0" w:semiHidden="1"/>
    <w:lsdException w:name="HTML Typewriter" w:locked="0" w:semiHidden="1"/>
    <w:lsdException w:name="HTML Variable" w:locked="0" w:semiHidden="1"/>
    <w:lsdException w:name="Normal Table" w:locked="0" w:uiPriority="0"/>
    <w:lsdException w:name="annotation subject" w:locked="0" w:semiHidden="1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/>
    <w:lsdException w:name="Quote" w:locked="0" w:semiHidden="1" w:qFormat="1"/>
    <w:lsdException w:name="Intense Quote" w:locked="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/>
    <w:lsdException w:name="Intense Emphasis" w:locked="0" w:semiHidden="1"/>
    <w:lsdException w:name="Subtle Reference" w:locked="0" w:semiHidden="1"/>
    <w:lsdException w:name="Intense Reference" w:locked="0" w:semiHidden="1"/>
    <w:lsdException w:name="Book Title" w:locked="0" w:semiHidden="1"/>
    <w:lsdException w:name="Bibliography" w:locked="0" w:semiHidden="1" w:unhideWhenUsed="1"/>
    <w:lsdException w:name="TOC Heading" w:locked="0" w:semiHidden="1" w:unhideWhenUsed="1" w:qFormat="1"/>
  </w:latentStyles>
  <w:style w:type="paragraph" w:default="1" w:styleId="Normalny">
    <w:name w:val="Normal"/>
    <w:qFormat/>
    <w:rsid w:val="0053619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widowControl w:val="0"/>
      <w:suppressAutoHyphens/>
      <w:spacing w:before="480" w:after="0" w:line="36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4C3F9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/>
      <w:kern w:val="1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/>
      <w:kern w:val="1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after="0" w:line="240" w:lineRule="auto"/>
      <w:ind w:left="283" w:hanging="170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Theme="minorEastAsia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customStyle="1" w:styleId="Notatkanamarginesie">
    <w:name w:val="Notatka na marginesie"/>
    <w:basedOn w:val="Normalny"/>
    <w:qFormat/>
    <w:rsid w:val="00F926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tytu">
    <w:name w:val="tytuł"/>
    <w:basedOn w:val="Normalny"/>
    <w:rsid w:val="00945E45"/>
    <w:pPr>
      <w:suppressLineNumbers/>
      <w:overflowPunct w:val="0"/>
      <w:autoSpaceDE w:val="0"/>
      <w:autoSpaceDN w:val="0"/>
      <w:adjustRightInd w:val="0"/>
      <w:spacing w:before="80" w:after="8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tekst">
    <w:name w:val="tekst"/>
    <w:basedOn w:val="Normalny"/>
    <w:rsid w:val="009A5F43"/>
    <w:pPr>
      <w:overflowPunct w:val="0"/>
      <w:autoSpaceDE w:val="0"/>
      <w:autoSpaceDN w:val="0"/>
      <w:adjustRightInd w:val="0"/>
      <w:spacing w:after="8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E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67D95F0-537D-4814-A633-0D1BF9BCF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7</Pages>
  <Words>1587</Words>
  <Characters>9528</Characters>
  <Application>Microsoft Office Word</Application>
  <DocSecurity>4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Władysław Baksza</dc:creator>
  <cp:lastModifiedBy>Asia Nafouki</cp:lastModifiedBy>
  <cp:revision>2</cp:revision>
  <cp:lastPrinted>2016-07-22T08:55:00Z</cp:lastPrinted>
  <dcterms:created xsi:type="dcterms:W3CDTF">2016-07-22T14:40:00Z</dcterms:created>
  <dcterms:modified xsi:type="dcterms:W3CDTF">2016-07-22T14:40:00Z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